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F7AC" w14:textId="732DECC2" w:rsidR="001663F5" w:rsidRPr="0004134A" w:rsidRDefault="00E77E3A" w:rsidP="00D53074">
      <w:pPr>
        <w:pStyle w:val="NoSpacing"/>
        <w:spacing w:line="276" w:lineRule="auto"/>
        <w:ind w:left="2124" w:firstLine="708"/>
        <w:jc w:val="both"/>
        <w:rPr>
          <w:rFonts w:ascii="Times New Roman" w:hAnsi="Times New Roman" w:cs="Times New Roman"/>
          <w:b/>
          <w:bCs/>
          <w:sz w:val="24"/>
          <w:szCs w:val="24"/>
        </w:rPr>
      </w:pPr>
      <w:r w:rsidRPr="0004134A">
        <w:rPr>
          <w:rFonts w:ascii="Times New Roman" w:hAnsi="Times New Roman" w:cs="Times New Roman"/>
          <w:noProof/>
          <w:sz w:val="40"/>
          <w:szCs w:val="40"/>
        </w:rPr>
        <w:drawing>
          <wp:inline distT="0" distB="0" distL="0" distR="0" wp14:anchorId="4F4AA677" wp14:editId="54A37E75">
            <wp:extent cx="2762250" cy="472440"/>
            <wp:effectExtent l="0" t="0" r="0" b="0"/>
            <wp:docPr id="2" name="Picture 6" descr="A picture containing darkness, screenshot, black, night&#10;&#10;Description automatically generated">
              <a:extLst xmlns:a="http://schemas.openxmlformats.org/drawingml/2006/main">
                <a:ext uri="{FF2B5EF4-FFF2-40B4-BE49-F238E27FC236}">
                  <a16:creationId xmlns:a16="http://schemas.microsoft.com/office/drawing/2014/main" id="{53B9BF7F-1282-4434-B682-0360F7734A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 picture containing darkness, screenshot, black, night&#10;&#10;Description automatically generated">
                      <a:extLst>
                        <a:ext uri="{FF2B5EF4-FFF2-40B4-BE49-F238E27FC236}">
                          <a16:creationId xmlns:a16="http://schemas.microsoft.com/office/drawing/2014/main" id="{53B9BF7F-1282-4434-B682-0360F7734AA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6174" t="13533" r="20645" b="23492"/>
                    <a:stretch/>
                  </pic:blipFill>
                  <pic:spPr bwMode="auto">
                    <a:xfrm>
                      <a:off x="0" y="0"/>
                      <a:ext cx="2762250" cy="472440"/>
                    </a:xfrm>
                    <a:prstGeom prst="rect">
                      <a:avLst/>
                    </a:prstGeom>
                    <a:ln>
                      <a:noFill/>
                    </a:ln>
                    <a:extLst>
                      <a:ext uri="{53640926-AAD7-44D8-BBD7-CCE9431645EC}">
                        <a14:shadowObscured xmlns:a14="http://schemas.microsoft.com/office/drawing/2010/main"/>
                      </a:ext>
                    </a:extLst>
                  </pic:spPr>
                </pic:pic>
              </a:graphicData>
            </a:graphic>
          </wp:inline>
        </w:drawing>
      </w:r>
    </w:p>
    <w:p w14:paraId="1B4A64FE" w14:textId="6DDF84DE" w:rsidR="001663F5" w:rsidRPr="0004134A" w:rsidRDefault="00B26356" w:rsidP="00D53074">
      <w:pPr>
        <w:ind w:left="1416"/>
        <w:jc w:val="both"/>
        <w:rPr>
          <w:rFonts w:ascii="Times New Roman" w:hAnsi="Times New Roman" w:cs="Times New Roman"/>
          <w:b/>
          <w:bCs/>
          <w:sz w:val="32"/>
          <w:szCs w:val="32"/>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134A">
        <w:rPr>
          <w:rFonts w:ascii="Times New Roman" w:hAnsi="Times New Roman" w:cs="Times New Roman"/>
          <w:b/>
          <w:bCs/>
          <w:sz w:val="32"/>
          <w:szCs w:val="32"/>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Rapport annuel pour la période allant du 1/3/2023 au 31/12/2023</w:t>
      </w:r>
    </w:p>
    <w:tbl>
      <w:tblPr>
        <w:tblW w:w="5003" w:type="pct"/>
        <w:jc w:val="center"/>
        <w:tblLook w:val="04A0" w:firstRow="1" w:lastRow="0" w:firstColumn="1" w:lastColumn="0" w:noHBand="0" w:noVBand="1"/>
      </w:tblPr>
      <w:tblGrid>
        <w:gridCol w:w="3724"/>
        <w:gridCol w:w="7082"/>
      </w:tblGrid>
      <w:tr w:rsidR="0097691A" w:rsidRPr="00911768" w14:paraId="158FF5A8" w14:textId="77777777" w:rsidTr="00B210CA">
        <w:trPr>
          <w:trHeight w:val="929"/>
          <w:jc w:val="center"/>
        </w:trPr>
        <w:tc>
          <w:tcPr>
            <w:tcW w:w="5000" w:type="pct"/>
            <w:gridSpan w:val="2"/>
            <w:tcBorders>
              <w:bottom w:val="single" w:sz="4" w:space="0" w:color="4472C4" w:themeColor="accent1"/>
            </w:tcBorders>
            <w:vAlign w:val="center"/>
          </w:tcPr>
          <w:p w14:paraId="0B2495B5" w14:textId="77777777" w:rsidR="0097691A" w:rsidRPr="0004134A" w:rsidRDefault="0097691A" w:rsidP="00B210CA">
            <w:pPr>
              <w:pStyle w:val="NoSpacing"/>
              <w:jc w:val="center"/>
              <w:rPr>
                <w:rFonts w:ascii="Times New Roman" w:eastAsiaTheme="majorEastAsia" w:hAnsi="Times New Roman" w:cs="Times New Roman"/>
                <w:sz w:val="28"/>
                <w:szCs w:val="28"/>
              </w:rPr>
            </w:pPr>
            <w:r w:rsidRPr="0004134A">
              <w:rPr>
                <w:rFonts w:ascii="Times New Roman" w:hAnsi="Times New Roman" w:cs="Times New Roman"/>
                <w:b/>
                <w:bCs/>
                <w:sz w:val="28"/>
                <w:szCs w:val="28"/>
              </w:rPr>
              <w:t>FIPP : Fondations pour une politique inclusive et pacifique au Burundi</w:t>
            </w:r>
          </w:p>
        </w:tc>
      </w:tr>
      <w:tr w:rsidR="0097691A" w:rsidRPr="00911768" w14:paraId="1969BA20" w14:textId="77777777" w:rsidTr="00B210CA">
        <w:trPr>
          <w:trHeight w:val="720"/>
          <w:jc w:val="center"/>
        </w:trPr>
        <w:tc>
          <w:tcPr>
            <w:tcW w:w="5000" w:type="pct"/>
            <w:gridSpan w:val="2"/>
            <w:tcBorders>
              <w:top w:val="single" w:sz="4" w:space="0" w:color="4472C4" w:themeColor="accent1"/>
            </w:tcBorders>
            <w:vAlign w:val="center"/>
          </w:tcPr>
          <w:p w14:paraId="4ECFEAA6" w14:textId="77777777" w:rsidR="0097691A" w:rsidRPr="0004134A" w:rsidRDefault="0097691A" w:rsidP="00B210CA">
            <w:pPr>
              <w:pStyle w:val="NoSpacing"/>
              <w:jc w:val="center"/>
              <w:rPr>
                <w:rFonts w:ascii="Times New Roman" w:eastAsiaTheme="majorEastAsia" w:hAnsi="Times New Roman" w:cs="Times New Roman"/>
                <w:iCs/>
                <w:sz w:val="28"/>
                <w:szCs w:val="28"/>
              </w:rPr>
            </w:pPr>
            <w:r w:rsidRPr="0004134A">
              <w:rPr>
                <w:rFonts w:ascii="Times New Roman" w:hAnsi="Times New Roman" w:cs="Times New Roman"/>
                <w:b/>
                <w:bCs/>
                <w:iCs/>
                <w:sz w:val="28"/>
                <w:szCs w:val="28"/>
              </w:rPr>
              <w:t>Vers les élections de 2025 et 2027</w:t>
            </w:r>
          </w:p>
        </w:tc>
      </w:tr>
      <w:tr w:rsidR="0097691A" w:rsidRPr="0004134A" w14:paraId="65AD5AD9" w14:textId="77777777" w:rsidTr="00B210CA">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5"/>
        </w:trPr>
        <w:tc>
          <w:tcPr>
            <w:tcW w:w="1723" w:type="pct"/>
            <w:tcBorders>
              <w:top w:val="single" w:sz="6" w:space="0" w:color="auto"/>
              <w:left w:val="single" w:sz="6" w:space="0" w:color="auto"/>
              <w:bottom w:val="single" w:sz="6" w:space="0" w:color="auto"/>
              <w:right w:val="single" w:sz="6" w:space="0" w:color="auto"/>
            </w:tcBorders>
            <w:shd w:val="clear" w:color="auto" w:fill="D9E2F3"/>
            <w:hideMark/>
          </w:tcPr>
          <w:p w14:paraId="08160C9C" w14:textId="77777777" w:rsidR="0097691A" w:rsidRPr="0004134A" w:rsidRDefault="0097691A" w:rsidP="00B210CA">
            <w:pPr>
              <w:spacing w:after="0" w:line="240" w:lineRule="auto"/>
              <w:textAlignment w:val="baseline"/>
              <w:rPr>
                <w:rFonts w:ascii="Times New Roman" w:eastAsia="Times New Roman" w:hAnsi="Times New Roman" w:cs="Times New Roman"/>
                <w:sz w:val="24"/>
                <w:szCs w:val="24"/>
              </w:rPr>
            </w:pPr>
            <w:r w:rsidRPr="0004134A">
              <w:rPr>
                <w:rFonts w:ascii="Times New Roman" w:eastAsia="Times New Roman" w:hAnsi="Times New Roman" w:cs="Times New Roman"/>
                <w:b/>
                <w:bCs/>
                <w:sz w:val="24"/>
                <w:szCs w:val="24"/>
                <w:lang w:val="en-GB"/>
              </w:rPr>
              <w:t xml:space="preserve">Nom de </w:t>
            </w:r>
            <w:proofErr w:type="spellStart"/>
            <w:r w:rsidRPr="0004134A">
              <w:rPr>
                <w:rFonts w:ascii="Times New Roman" w:eastAsia="Times New Roman" w:hAnsi="Times New Roman" w:cs="Times New Roman"/>
                <w:b/>
                <w:bCs/>
                <w:sz w:val="24"/>
                <w:szCs w:val="24"/>
                <w:lang w:val="en-GB"/>
              </w:rPr>
              <w:t>l’organisation</w:t>
            </w:r>
            <w:proofErr w:type="spellEnd"/>
            <w:r w:rsidRPr="0004134A">
              <w:rPr>
                <w:rFonts w:ascii="Times New Roman" w:eastAsia="Times New Roman" w:hAnsi="Times New Roman" w:cs="Times New Roman"/>
                <w:sz w:val="24"/>
                <w:szCs w:val="24"/>
              </w:rPr>
              <w:t> </w:t>
            </w:r>
          </w:p>
        </w:tc>
        <w:tc>
          <w:tcPr>
            <w:tcW w:w="3277" w:type="pct"/>
            <w:tcBorders>
              <w:top w:val="single" w:sz="6" w:space="0" w:color="auto"/>
              <w:left w:val="single" w:sz="6" w:space="0" w:color="auto"/>
              <w:bottom w:val="single" w:sz="6" w:space="0" w:color="auto"/>
              <w:right w:val="single" w:sz="6" w:space="0" w:color="auto"/>
            </w:tcBorders>
            <w:shd w:val="clear" w:color="auto" w:fill="auto"/>
            <w:hideMark/>
          </w:tcPr>
          <w:p w14:paraId="50EE6BE0" w14:textId="58162090" w:rsidR="0097691A" w:rsidRPr="0004134A" w:rsidRDefault="00042A16" w:rsidP="00B210CA">
            <w:pPr>
              <w:spacing w:after="0" w:line="240" w:lineRule="auto"/>
              <w:textAlignment w:val="baseline"/>
              <w:rPr>
                <w:rFonts w:ascii="Times New Roman" w:eastAsia="Times New Roman" w:hAnsi="Times New Roman" w:cs="Times New Roman"/>
                <w:sz w:val="24"/>
                <w:szCs w:val="24"/>
              </w:rPr>
            </w:pPr>
            <w:r w:rsidRPr="0004134A">
              <w:rPr>
                <w:rFonts w:ascii="Times New Roman" w:eastAsia="Times New Roman" w:hAnsi="Times New Roman" w:cs="Times New Roman"/>
                <w:sz w:val="24"/>
                <w:szCs w:val="24"/>
              </w:rPr>
              <w:t>Netherlands Institute for Multiparty Democracy</w:t>
            </w:r>
          </w:p>
        </w:tc>
      </w:tr>
      <w:tr w:rsidR="0097691A" w:rsidRPr="0004134A" w14:paraId="500D33B0" w14:textId="77777777" w:rsidTr="00B210CA">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5"/>
        </w:trPr>
        <w:tc>
          <w:tcPr>
            <w:tcW w:w="1723" w:type="pct"/>
            <w:tcBorders>
              <w:top w:val="single" w:sz="6" w:space="0" w:color="auto"/>
              <w:left w:val="single" w:sz="6" w:space="0" w:color="auto"/>
              <w:bottom w:val="single" w:sz="6" w:space="0" w:color="auto"/>
              <w:right w:val="single" w:sz="6" w:space="0" w:color="auto"/>
            </w:tcBorders>
            <w:shd w:val="clear" w:color="auto" w:fill="D9E2F3"/>
          </w:tcPr>
          <w:p w14:paraId="468314F1" w14:textId="26EC56D2" w:rsidR="0097691A" w:rsidRPr="0004134A" w:rsidRDefault="0097691A" w:rsidP="00B210CA">
            <w:pPr>
              <w:spacing w:after="0" w:line="240" w:lineRule="auto"/>
              <w:textAlignment w:val="baseline"/>
              <w:rPr>
                <w:rFonts w:ascii="Times New Roman" w:eastAsia="Times New Roman" w:hAnsi="Times New Roman" w:cs="Times New Roman"/>
                <w:b/>
                <w:bCs/>
                <w:sz w:val="24"/>
                <w:szCs w:val="24"/>
                <w:lang w:val="en-GB"/>
              </w:rPr>
            </w:pPr>
            <w:r w:rsidRPr="0004134A">
              <w:rPr>
                <w:rFonts w:ascii="Times New Roman" w:eastAsia="Times New Roman" w:hAnsi="Times New Roman" w:cs="Times New Roman"/>
                <w:b/>
                <w:bCs/>
                <w:sz w:val="24"/>
                <w:szCs w:val="24"/>
                <w:lang w:val="en-GB"/>
              </w:rPr>
              <w:t>Titre d</w:t>
            </w:r>
            <w:r w:rsidR="00042A16" w:rsidRPr="0004134A">
              <w:rPr>
                <w:rFonts w:ascii="Times New Roman" w:eastAsia="Times New Roman" w:hAnsi="Times New Roman" w:cs="Times New Roman"/>
                <w:b/>
                <w:bCs/>
                <w:sz w:val="24"/>
                <w:szCs w:val="24"/>
                <w:lang w:val="en-GB"/>
              </w:rPr>
              <w:t>u projet</w:t>
            </w:r>
          </w:p>
        </w:tc>
        <w:tc>
          <w:tcPr>
            <w:tcW w:w="3277" w:type="pct"/>
            <w:tcBorders>
              <w:top w:val="single" w:sz="6" w:space="0" w:color="auto"/>
              <w:left w:val="single" w:sz="6" w:space="0" w:color="auto"/>
              <w:bottom w:val="single" w:sz="6" w:space="0" w:color="auto"/>
              <w:right w:val="single" w:sz="6" w:space="0" w:color="auto"/>
            </w:tcBorders>
            <w:shd w:val="clear" w:color="auto" w:fill="auto"/>
          </w:tcPr>
          <w:p w14:paraId="2DC740C9" w14:textId="7CF45510" w:rsidR="0097691A" w:rsidRPr="0004134A" w:rsidRDefault="00042A16" w:rsidP="00B210CA">
            <w:pPr>
              <w:spacing w:after="0" w:line="240" w:lineRule="auto"/>
              <w:textAlignment w:val="baseline"/>
              <w:rPr>
                <w:rFonts w:ascii="Times New Roman" w:eastAsia="Times New Roman" w:hAnsi="Times New Roman" w:cs="Times New Roman"/>
                <w:sz w:val="24"/>
                <w:szCs w:val="24"/>
              </w:rPr>
            </w:pPr>
            <w:r w:rsidRPr="0004134A">
              <w:rPr>
                <w:rFonts w:ascii="Times New Roman" w:eastAsia="Times New Roman" w:hAnsi="Times New Roman" w:cs="Times New Roman"/>
                <w:sz w:val="24"/>
                <w:szCs w:val="24"/>
              </w:rPr>
              <w:t>Foundations for Inclusive and Peaceful Politics in Burundi</w:t>
            </w:r>
          </w:p>
        </w:tc>
      </w:tr>
      <w:tr w:rsidR="0097691A" w:rsidRPr="0004134A" w14:paraId="049D99E9" w14:textId="77777777" w:rsidTr="00B210CA">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5"/>
        </w:trPr>
        <w:tc>
          <w:tcPr>
            <w:tcW w:w="1723" w:type="pct"/>
            <w:tcBorders>
              <w:top w:val="single" w:sz="6" w:space="0" w:color="auto"/>
              <w:left w:val="single" w:sz="6" w:space="0" w:color="auto"/>
              <w:bottom w:val="single" w:sz="6" w:space="0" w:color="auto"/>
              <w:right w:val="single" w:sz="6" w:space="0" w:color="auto"/>
            </w:tcBorders>
            <w:shd w:val="clear" w:color="auto" w:fill="D9E2F3"/>
          </w:tcPr>
          <w:p w14:paraId="2584CA85" w14:textId="77777777" w:rsidR="0097691A" w:rsidRPr="0004134A" w:rsidRDefault="0097691A" w:rsidP="00B210CA">
            <w:pPr>
              <w:spacing w:after="0" w:line="240" w:lineRule="auto"/>
              <w:textAlignment w:val="baseline"/>
              <w:rPr>
                <w:rFonts w:ascii="Times New Roman" w:eastAsia="Times New Roman" w:hAnsi="Times New Roman" w:cs="Times New Roman"/>
                <w:b/>
                <w:bCs/>
                <w:sz w:val="24"/>
                <w:szCs w:val="24"/>
                <w:lang w:val="en-GB"/>
              </w:rPr>
            </w:pPr>
            <w:proofErr w:type="spellStart"/>
            <w:r w:rsidRPr="0004134A">
              <w:rPr>
                <w:rFonts w:ascii="Times New Roman" w:eastAsia="Times New Roman" w:hAnsi="Times New Roman" w:cs="Times New Roman"/>
                <w:b/>
                <w:bCs/>
                <w:sz w:val="24"/>
                <w:szCs w:val="24"/>
                <w:lang w:val="en-GB"/>
              </w:rPr>
              <w:t>Période</w:t>
            </w:r>
            <w:proofErr w:type="spellEnd"/>
            <w:r w:rsidRPr="0004134A">
              <w:rPr>
                <w:rFonts w:ascii="Times New Roman" w:eastAsia="Times New Roman" w:hAnsi="Times New Roman" w:cs="Times New Roman"/>
                <w:b/>
                <w:bCs/>
                <w:sz w:val="24"/>
                <w:szCs w:val="24"/>
                <w:lang w:val="en-GB"/>
              </w:rPr>
              <w:t xml:space="preserve"> </w:t>
            </w:r>
            <w:proofErr w:type="spellStart"/>
            <w:r w:rsidRPr="0004134A">
              <w:rPr>
                <w:rFonts w:ascii="Times New Roman" w:eastAsia="Times New Roman" w:hAnsi="Times New Roman" w:cs="Times New Roman"/>
                <w:b/>
                <w:bCs/>
                <w:sz w:val="24"/>
                <w:szCs w:val="24"/>
                <w:lang w:val="en-GB"/>
              </w:rPr>
              <w:t>totale</w:t>
            </w:r>
            <w:proofErr w:type="spellEnd"/>
            <w:r w:rsidRPr="0004134A">
              <w:rPr>
                <w:rFonts w:ascii="Times New Roman" w:eastAsia="Times New Roman" w:hAnsi="Times New Roman" w:cs="Times New Roman"/>
                <w:b/>
                <w:bCs/>
                <w:sz w:val="24"/>
                <w:szCs w:val="24"/>
                <w:lang w:val="en-GB"/>
              </w:rPr>
              <w:t xml:space="preserve"> du </w:t>
            </w:r>
            <w:proofErr w:type="spellStart"/>
            <w:r w:rsidRPr="0004134A">
              <w:rPr>
                <w:rFonts w:ascii="Times New Roman" w:eastAsia="Times New Roman" w:hAnsi="Times New Roman" w:cs="Times New Roman"/>
                <w:b/>
                <w:bCs/>
                <w:sz w:val="24"/>
                <w:szCs w:val="24"/>
                <w:lang w:val="en-GB"/>
              </w:rPr>
              <w:t>contrat</w:t>
            </w:r>
            <w:proofErr w:type="spellEnd"/>
          </w:p>
        </w:tc>
        <w:tc>
          <w:tcPr>
            <w:tcW w:w="3277" w:type="pct"/>
            <w:tcBorders>
              <w:top w:val="single" w:sz="6" w:space="0" w:color="auto"/>
              <w:left w:val="single" w:sz="6" w:space="0" w:color="auto"/>
              <w:bottom w:val="single" w:sz="6" w:space="0" w:color="auto"/>
              <w:right w:val="single" w:sz="6" w:space="0" w:color="auto"/>
            </w:tcBorders>
            <w:shd w:val="clear" w:color="auto" w:fill="auto"/>
          </w:tcPr>
          <w:p w14:paraId="725A1326" w14:textId="739B9572" w:rsidR="0097691A" w:rsidRPr="0004134A" w:rsidRDefault="00042A16" w:rsidP="00B210CA">
            <w:pPr>
              <w:spacing w:after="0" w:line="240" w:lineRule="auto"/>
              <w:textAlignment w:val="baseline"/>
              <w:rPr>
                <w:rFonts w:ascii="Times New Roman" w:eastAsia="Times New Roman" w:hAnsi="Times New Roman" w:cs="Times New Roman"/>
                <w:sz w:val="24"/>
                <w:szCs w:val="24"/>
              </w:rPr>
            </w:pPr>
            <w:r w:rsidRPr="0004134A">
              <w:rPr>
                <w:rFonts w:ascii="Times New Roman" w:eastAsia="Times New Roman" w:hAnsi="Times New Roman" w:cs="Times New Roman"/>
                <w:sz w:val="24"/>
                <w:szCs w:val="24"/>
              </w:rPr>
              <w:t>Du 1/3/2023 au 29/2/2028</w:t>
            </w:r>
          </w:p>
        </w:tc>
      </w:tr>
      <w:tr w:rsidR="0097691A" w:rsidRPr="0004134A" w14:paraId="574AF4F6" w14:textId="77777777" w:rsidTr="00B210CA">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5"/>
        </w:trPr>
        <w:tc>
          <w:tcPr>
            <w:tcW w:w="1723" w:type="pct"/>
            <w:tcBorders>
              <w:top w:val="single" w:sz="6" w:space="0" w:color="auto"/>
              <w:left w:val="single" w:sz="6" w:space="0" w:color="auto"/>
              <w:bottom w:val="single" w:sz="6" w:space="0" w:color="auto"/>
              <w:right w:val="single" w:sz="6" w:space="0" w:color="auto"/>
            </w:tcBorders>
            <w:shd w:val="clear" w:color="auto" w:fill="D9E2F3"/>
            <w:hideMark/>
          </w:tcPr>
          <w:p w14:paraId="2D2631EC" w14:textId="77777777" w:rsidR="0097691A" w:rsidRPr="0004134A" w:rsidRDefault="0097691A" w:rsidP="00B210CA">
            <w:pPr>
              <w:spacing w:after="0" w:line="240" w:lineRule="auto"/>
              <w:textAlignment w:val="baseline"/>
              <w:rPr>
                <w:rFonts w:ascii="Times New Roman" w:eastAsia="Times New Roman" w:hAnsi="Times New Roman" w:cs="Times New Roman"/>
                <w:b/>
                <w:bCs/>
                <w:sz w:val="24"/>
                <w:szCs w:val="24"/>
              </w:rPr>
            </w:pPr>
            <w:r w:rsidRPr="0004134A">
              <w:rPr>
                <w:rFonts w:ascii="Times New Roman" w:eastAsia="Times New Roman" w:hAnsi="Times New Roman" w:cs="Times New Roman"/>
                <w:b/>
                <w:bCs/>
                <w:sz w:val="24"/>
                <w:szCs w:val="24"/>
              </w:rPr>
              <w:t>Période de rapportage </w:t>
            </w:r>
          </w:p>
        </w:tc>
        <w:tc>
          <w:tcPr>
            <w:tcW w:w="3277" w:type="pct"/>
            <w:tcBorders>
              <w:top w:val="single" w:sz="6" w:space="0" w:color="auto"/>
              <w:left w:val="single" w:sz="6" w:space="0" w:color="auto"/>
              <w:bottom w:val="single" w:sz="6" w:space="0" w:color="auto"/>
              <w:right w:val="single" w:sz="6" w:space="0" w:color="auto"/>
            </w:tcBorders>
            <w:shd w:val="clear" w:color="auto" w:fill="auto"/>
            <w:hideMark/>
          </w:tcPr>
          <w:p w14:paraId="2D560001" w14:textId="7410F5FC" w:rsidR="0097691A" w:rsidRPr="0004134A" w:rsidRDefault="0097691A" w:rsidP="00B210CA">
            <w:pPr>
              <w:spacing w:after="0" w:line="240" w:lineRule="auto"/>
              <w:textAlignment w:val="baseline"/>
              <w:rPr>
                <w:rFonts w:ascii="Times New Roman" w:eastAsia="Times New Roman" w:hAnsi="Times New Roman" w:cs="Times New Roman"/>
                <w:sz w:val="24"/>
                <w:szCs w:val="24"/>
              </w:rPr>
            </w:pPr>
            <w:r w:rsidRPr="0004134A">
              <w:rPr>
                <w:rFonts w:ascii="Times New Roman" w:eastAsia="Times New Roman" w:hAnsi="Times New Roman" w:cs="Times New Roman"/>
                <w:sz w:val="24"/>
                <w:szCs w:val="24"/>
              </w:rPr>
              <w:t> </w:t>
            </w:r>
            <w:r w:rsidR="00042A16" w:rsidRPr="0004134A">
              <w:rPr>
                <w:rFonts w:ascii="Times New Roman" w:eastAsia="Times New Roman" w:hAnsi="Times New Roman" w:cs="Times New Roman"/>
                <w:sz w:val="24"/>
                <w:szCs w:val="24"/>
              </w:rPr>
              <w:t>1/</w:t>
            </w:r>
            <w:r w:rsidR="002B5815" w:rsidRPr="0004134A">
              <w:rPr>
                <w:rFonts w:ascii="Times New Roman" w:eastAsia="Times New Roman" w:hAnsi="Times New Roman" w:cs="Times New Roman"/>
                <w:sz w:val="24"/>
                <w:szCs w:val="24"/>
              </w:rPr>
              <w:t>3</w:t>
            </w:r>
            <w:r w:rsidR="00042A16" w:rsidRPr="0004134A">
              <w:rPr>
                <w:rFonts w:ascii="Times New Roman" w:eastAsia="Times New Roman" w:hAnsi="Times New Roman" w:cs="Times New Roman"/>
                <w:sz w:val="24"/>
                <w:szCs w:val="24"/>
              </w:rPr>
              <w:t>/2023-31/12/2023</w:t>
            </w:r>
          </w:p>
        </w:tc>
      </w:tr>
      <w:tr w:rsidR="0097691A" w:rsidRPr="0004134A" w14:paraId="4EF1DE46" w14:textId="77777777" w:rsidTr="00B210CA">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5"/>
        </w:trPr>
        <w:tc>
          <w:tcPr>
            <w:tcW w:w="1723" w:type="pct"/>
            <w:tcBorders>
              <w:top w:val="single" w:sz="6" w:space="0" w:color="auto"/>
              <w:left w:val="single" w:sz="6" w:space="0" w:color="auto"/>
              <w:bottom w:val="single" w:sz="6" w:space="0" w:color="auto"/>
              <w:right w:val="single" w:sz="6" w:space="0" w:color="auto"/>
            </w:tcBorders>
            <w:shd w:val="clear" w:color="auto" w:fill="D9E2F3"/>
            <w:hideMark/>
          </w:tcPr>
          <w:p w14:paraId="71A46FF5" w14:textId="77777777" w:rsidR="0097691A" w:rsidRPr="0004134A" w:rsidRDefault="0097691A" w:rsidP="00B210CA">
            <w:pPr>
              <w:spacing w:after="0" w:line="240" w:lineRule="auto"/>
              <w:textAlignment w:val="baseline"/>
              <w:rPr>
                <w:rFonts w:ascii="Times New Roman" w:eastAsia="Times New Roman" w:hAnsi="Times New Roman" w:cs="Times New Roman"/>
                <w:b/>
                <w:bCs/>
                <w:sz w:val="24"/>
                <w:szCs w:val="24"/>
                <w:lang w:val="fr-FR"/>
              </w:rPr>
            </w:pPr>
            <w:r w:rsidRPr="0004134A">
              <w:rPr>
                <w:rFonts w:ascii="Times New Roman" w:eastAsia="Times New Roman" w:hAnsi="Times New Roman" w:cs="Times New Roman"/>
                <w:b/>
                <w:bCs/>
                <w:sz w:val="24"/>
                <w:szCs w:val="24"/>
                <w:lang w:val="fr-FR"/>
              </w:rPr>
              <w:t>Budget inclus dans le rapport</w:t>
            </w:r>
          </w:p>
        </w:tc>
        <w:tc>
          <w:tcPr>
            <w:tcW w:w="3277" w:type="pct"/>
            <w:tcBorders>
              <w:top w:val="single" w:sz="6" w:space="0" w:color="auto"/>
              <w:left w:val="single" w:sz="6" w:space="0" w:color="auto"/>
              <w:bottom w:val="single" w:sz="6" w:space="0" w:color="auto"/>
              <w:right w:val="single" w:sz="6" w:space="0" w:color="auto"/>
            </w:tcBorders>
            <w:shd w:val="clear" w:color="auto" w:fill="auto"/>
            <w:hideMark/>
          </w:tcPr>
          <w:p w14:paraId="4C680E1A" w14:textId="38DD8D50" w:rsidR="0097691A" w:rsidRPr="0004134A" w:rsidRDefault="0097691A" w:rsidP="00B210CA">
            <w:pPr>
              <w:spacing w:after="0" w:line="240" w:lineRule="auto"/>
              <w:textAlignment w:val="baseline"/>
              <w:rPr>
                <w:rFonts w:ascii="Times New Roman" w:eastAsia="Times New Roman" w:hAnsi="Times New Roman" w:cs="Times New Roman"/>
                <w:sz w:val="24"/>
                <w:szCs w:val="24"/>
                <w:lang w:val="fr-FR"/>
              </w:rPr>
            </w:pPr>
            <w:r w:rsidRPr="0004134A">
              <w:rPr>
                <w:rFonts w:ascii="Times New Roman" w:eastAsia="Times New Roman" w:hAnsi="Times New Roman" w:cs="Times New Roman"/>
                <w:sz w:val="24"/>
                <w:szCs w:val="24"/>
                <w:lang w:val="fr-FR"/>
              </w:rPr>
              <w:t> </w:t>
            </w:r>
            <w:r w:rsidR="00042A16" w:rsidRPr="0004134A">
              <w:rPr>
                <w:rFonts w:ascii="Times New Roman" w:eastAsia="Times New Roman" w:hAnsi="Times New Roman" w:cs="Times New Roman"/>
                <w:sz w:val="24"/>
                <w:szCs w:val="24"/>
                <w:lang w:val="fr-FR"/>
              </w:rPr>
              <w:t>Voir rapport financier</w:t>
            </w:r>
          </w:p>
        </w:tc>
      </w:tr>
    </w:tbl>
    <w:p w14:paraId="0C18B9C3" w14:textId="77777777" w:rsidR="006648AC" w:rsidRPr="0004134A" w:rsidRDefault="006648AC" w:rsidP="006648AC">
      <w:pPr>
        <w:pStyle w:val="ListParagraph"/>
        <w:jc w:val="both"/>
        <w:rPr>
          <w:rFonts w:ascii="Times New Roman" w:hAnsi="Times New Roman" w:cs="Times New Roman"/>
          <w:b/>
          <w:sz w:val="24"/>
          <w:szCs w:val="24"/>
          <w:lang w:val="fr-FR"/>
        </w:rPr>
      </w:pPr>
    </w:p>
    <w:p w14:paraId="7F1D58F6" w14:textId="002DF468" w:rsidR="00D969E7" w:rsidRPr="0004134A" w:rsidRDefault="00B26356" w:rsidP="00D53074">
      <w:pPr>
        <w:pStyle w:val="ListParagraph"/>
        <w:numPr>
          <w:ilvl w:val="0"/>
          <w:numId w:val="3"/>
        </w:numPr>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Introduction</w:t>
      </w:r>
      <w:r w:rsidR="007D2652" w:rsidRPr="0004134A">
        <w:rPr>
          <w:rFonts w:ascii="Times New Roman" w:hAnsi="Times New Roman" w:cs="Times New Roman"/>
          <w:b/>
          <w:sz w:val="24"/>
          <w:szCs w:val="24"/>
          <w:lang w:val="fr-FR"/>
        </w:rPr>
        <w:t xml:space="preserve"> et contexte</w:t>
      </w:r>
    </w:p>
    <w:p w14:paraId="0D0579BD" w14:textId="49A00CA5" w:rsidR="00EF7727" w:rsidRPr="0004134A" w:rsidRDefault="00D028B8" w:rsidP="00EF7727">
      <w:pPr>
        <w:pStyle w:val="NoSpacing"/>
        <w:ind w:left="360"/>
        <w:jc w:val="both"/>
        <w:rPr>
          <w:rFonts w:ascii="Times New Roman" w:hAnsi="Times New Roman" w:cs="Times New Roman"/>
          <w:sz w:val="24"/>
          <w:szCs w:val="24"/>
        </w:rPr>
      </w:pPr>
      <w:r w:rsidRPr="0004134A">
        <w:rPr>
          <w:rFonts w:ascii="Times New Roman" w:hAnsi="Times New Roman" w:cs="Times New Roman"/>
          <w:sz w:val="24"/>
          <w:szCs w:val="24"/>
        </w:rPr>
        <w:t xml:space="preserve">Par décision n° 400006497 datée du 23 février 2023, l’Ambassade des Pays-Bas au Burundi a accordé à l’organisation </w:t>
      </w:r>
      <w:proofErr w:type="spellStart"/>
      <w:r w:rsidRPr="0004134A">
        <w:rPr>
          <w:rFonts w:ascii="Times New Roman" w:hAnsi="Times New Roman" w:cs="Times New Roman"/>
          <w:sz w:val="24"/>
          <w:szCs w:val="24"/>
        </w:rPr>
        <w:t>Netherlands</w:t>
      </w:r>
      <w:proofErr w:type="spellEnd"/>
      <w:r w:rsidRPr="0004134A">
        <w:rPr>
          <w:rFonts w:ascii="Times New Roman" w:hAnsi="Times New Roman" w:cs="Times New Roman"/>
          <w:sz w:val="24"/>
          <w:szCs w:val="24"/>
        </w:rPr>
        <w:t xml:space="preserve"> Institute for </w:t>
      </w:r>
      <w:proofErr w:type="spellStart"/>
      <w:r w:rsidRPr="0004134A">
        <w:rPr>
          <w:rFonts w:ascii="Times New Roman" w:hAnsi="Times New Roman" w:cs="Times New Roman"/>
          <w:sz w:val="24"/>
          <w:szCs w:val="24"/>
        </w:rPr>
        <w:t>Multiparty</w:t>
      </w:r>
      <w:proofErr w:type="spellEnd"/>
      <w:r w:rsidRPr="0004134A">
        <w:rPr>
          <w:rFonts w:ascii="Times New Roman" w:hAnsi="Times New Roman" w:cs="Times New Roman"/>
          <w:sz w:val="24"/>
          <w:szCs w:val="24"/>
        </w:rPr>
        <w:t xml:space="preserve"> Democracy « NIMD », un financement du projet intitulé « </w:t>
      </w:r>
      <w:proofErr w:type="spellStart"/>
      <w:r w:rsidRPr="0004134A">
        <w:rPr>
          <w:rFonts w:ascii="Times New Roman" w:hAnsi="Times New Roman" w:cs="Times New Roman"/>
          <w:sz w:val="24"/>
          <w:szCs w:val="24"/>
        </w:rPr>
        <w:t>Foundations</w:t>
      </w:r>
      <w:proofErr w:type="spellEnd"/>
      <w:r w:rsidRPr="0004134A">
        <w:rPr>
          <w:rFonts w:ascii="Times New Roman" w:hAnsi="Times New Roman" w:cs="Times New Roman"/>
          <w:sz w:val="24"/>
          <w:szCs w:val="24"/>
        </w:rPr>
        <w:t xml:space="preserve"> for Inclusive and </w:t>
      </w:r>
      <w:proofErr w:type="spellStart"/>
      <w:r w:rsidRPr="0004134A">
        <w:rPr>
          <w:rFonts w:ascii="Times New Roman" w:hAnsi="Times New Roman" w:cs="Times New Roman"/>
          <w:sz w:val="24"/>
          <w:szCs w:val="24"/>
        </w:rPr>
        <w:t>Peaceful</w:t>
      </w:r>
      <w:proofErr w:type="spellEnd"/>
      <w:r w:rsidRPr="0004134A">
        <w:rPr>
          <w:rFonts w:ascii="Times New Roman" w:hAnsi="Times New Roman" w:cs="Times New Roman"/>
          <w:sz w:val="24"/>
          <w:szCs w:val="24"/>
        </w:rPr>
        <w:t xml:space="preserve"> </w:t>
      </w:r>
      <w:proofErr w:type="spellStart"/>
      <w:r w:rsidRPr="0004134A">
        <w:rPr>
          <w:rFonts w:ascii="Times New Roman" w:hAnsi="Times New Roman" w:cs="Times New Roman"/>
          <w:sz w:val="24"/>
          <w:szCs w:val="24"/>
        </w:rPr>
        <w:t>Politics</w:t>
      </w:r>
      <w:proofErr w:type="spellEnd"/>
      <w:r w:rsidRPr="0004134A">
        <w:rPr>
          <w:rFonts w:ascii="Times New Roman" w:hAnsi="Times New Roman" w:cs="Times New Roman"/>
          <w:sz w:val="24"/>
          <w:szCs w:val="24"/>
        </w:rPr>
        <w:t xml:space="preserve"> in Burundi ».  </w:t>
      </w:r>
      <w:r w:rsidR="00AC65C9" w:rsidRPr="0004134A">
        <w:rPr>
          <w:rFonts w:ascii="Times New Roman" w:hAnsi="Times New Roman" w:cs="Times New Roman"/>
          <w:sz w:val="24"/>
          <w:szCs w:val="24"/>
        </w:rPr>
        <w:t xml:space="preserve">Le but de ce projet est de </w:t>
      </w:r>
      <w:r w:rsidR="00EF7727" w:rsidRPr="0004134A">
        <w:rPr>
          <w:rFonts w:ascii="Times New Roman" w:hAnsi="Times New Roman" w:cs="Times New Roman"/>
          <w:sz w:val="24"/>
          <w:szCs w:val="24"/>
        </w:rPr>
        <w:t xml:space="preserve">jeter les bases d’une politique propice à des élections inclusives et pacifiques de 2025 &amp; 2027, </w:t>
      </w:r>
      <w:r w:rsidR="00AC65C9" w:rsidRPr="0004134A">
        <w:rPr>
          <w:rFonts w:ascii="Times New Roman" w:hAnsi="Times New Roman" w:cs="Times New Roman"/>
          <w:sz w:val="24"/>
          <w:szCs w:val="24"/>
        </w:rPr>
        <w:t>à travers un a</w:t>
      </w:r>
      <w:r w:rsidR="00EF7727" w:rsidRPr="0004134A">
        <w:rPr>
          <w:rFonts w:ascii="Times New Roman" w:hAnsi="Times New Roman" w:cs="Times New Roman"/>
          <w:sz w:val="24"/>
          <w:szCs w:val="24"/>
        </w:rPr>
        <w:t>ccompagne</w:t>
      </w:r>
      <w:r w:rsidR="00AC65C9" w:rsidRPr="0004134A">
        <w:rPr>
          <w:rFonts w:ascii="Times New Roman" w:hAnsi="Times New Roman" w:cs="Times New Roman"/>
          <w:sz w:val="24"/>
          <w:szCs w:val="24"/>
        </w:rPr>
        <w:t xml:space="preserve">ment des </w:t>
      </w:r>
      <w:r w:rsidR="00EF7727" w:rsidRPr="0004134A">
        <w:rPr>
          <w:rFonts w:ascii="Times New Roman" w:hAnsi="Times New Roman" w:cs="Times New Roman"/>
          <w:sz w:val="24"/>
          <w:szCs w:val="24"/>
        </w:rPr>
        <w:t>partis politiques dans leur travail d’instaurer un climat sain propice aux élections inclusives et pacifiques.</w:t>
      </w:r>
    </w:p>
    <w:p w14:paraId="38167759" w14:textId="30A5D057" w:rsidR="00533947" w:rsidRPr="0004134A" w:rsidRDefault="00AC65C9" w:rsidP="00EF7727">
      <w:pPr>
        <w:pStyle w:val="NoSpacing"/>
        <w:spacing w:line="276" w:lineRule="auto"/>
        <w:ind w:left="360"/>
        <w:jc w:val="both"/>
        <w:rPr>
          <w:rFonts w:ascii="Times New Roman" w:hAnsi="Times New Roman" w:cs="Times New Roman"/>
          <w:sz w:val="24"/>
          <w:szCs w:val="24"/>
        </w:rPr>
      </w:pPr>
      <w:r w:rsidRPr="0004134A">
        <w:rPr>
          <w:rFonts w:ascii="Times New Roman" w:hAnsi="Times New Roman" w:cs="Times New Roman"/>
          <w:sz w:val="24"/>
          <w:szCs w:val="24"/>
        </w:rPr>
        <w:t>En outre</w:t>
      </w:r>
      <w:r w:rsidR="00EF7727" w:rsidRPr="0004134A">
        <w:rPr>
          <w:rFonts w:ascii="Times New Roman" w:hAnsi="Times New Roman" w:cs="Times New Roman"/>
          <w:sz w:val="24"/>
          <w:szCs w:val="24"/>
        </w:rPr>
        <w:t xml:space="preserve">, le Projet FIPP </w:t>
      </w:r>
      <w:r w:rsidRPr="0004134A">
        <w:rPr>
          <w:rFonts w:ascii="Times New Roman" w:hAnsi="Times New Roman" w:cs="Times New Roman"/>
          <w:sz w:val="24"/>
          <w:szCs w:val="24"/>
        </w:rPr>
        <w:t>vise à</w:t>
      </w:r>
      <w:r w:rsidR="00EF7727" w:rsidRPr="0004134A">
        <w:rPr>
          <w:rFonts w:ascii="Times New Roman" w:hAnsi="Times New Roman" w:cs="Times New Roman"/>
          <w:sz w:val="24"/>
          <w:szCs w:val="24"/>
        </w:rPr>
        <w:t xml:space="preserve"> appuyer le</w:t>
      </w:r>
      <w:r w:rsidR="00FE62BD">
        <w:rPr>
          <w:rFonts w:ascii="Times New Roman" w:hAnsi="Times New Roman" w:cs="Times New Roman"/>
          <w:sz w:val="24"/>
          <w:szCs w:val="24"/>
        </w:rPr>
        <w:t xml:space="preserve"> Burundi</w:t>
      </w:r>
      <w:r w:rsidR="00EF7727" w:rsidRPr="0004134A">
        <w:rPr>
          <w:rFonts w:ascii="Times New Roman" w:hAnsi="Times New Roman" w:cs="Times New Roman"/>
          <w:sz w:val="24"/>
          <w:szCs w:val="24"/>
        </w:rPr>
        <w:t xml:space="preserve"> dans ses initiatives d’engager les acteurs sociopolitiques, les acteurs démocratiques et les leaders politiques dans les débats inclusifs et ouverts sur des thèmes particulièrement significatifs pour le développement de la communauté et du pay</w:t>
      </w:r>
      <w:r w:rsidR="00EF7727" w:rsidRPr="006F0463">
        <w:rPr>
          <w:rFonts w:ascii="Times New Roman" w:hAnsi="Times New Roman" w:cs="Times New Roman"/>
          <w:sz w:val="24"/>
          <w:szCs w:val="24"/>
        </w:rPr>
        <w:t>s</w:t>
      </w:r>
      <w:r w:rsidR="006F0463">
        <w:rPr>
          <w:rFonts w:ascii="Times New Roman" w:hAnsi="Times New Roman" w:cs="Times New Roman"/>
          <w:sz w:val="24"/>
          <w:szCs w:val="24"/>
        </w:rPr>
        <w:t xml:space="preserve"> </w:t>
      </w:r>
      <w:r w:rsidR="006F0463" w:rsidRPr="006F0463">
        <w:rPr>
          <w:rFonts w:ascii="Times New Roman" w:hAnsi="Times New Roman" w:cs="Times New Roman"/>
          <w:sz w:val="24"/>
          <w:szCs w:val="24"/>
        </w:rPr>
        <w:t>y compris mais sans s'y limiter, des dialogues et des formations</w:t>
      </w:r>
      <w:r w:rsidR="00F74696" w:rsidRPr="006F0463">
        <w:rPr>
          <w:rFonts w:ascii="Times New Roman" w:hAnsi="Times New Roman" w:cs="Times New Roman"/>
          <w:sz w:val="24"/>
          <w:szCs w:val="24"/>
        </w:rPr>
        <w:t xml:space="preserve">. </w:t>
      </w:r>
      <w:r w:rsidR="006F0463">
        <w:rPr>
          <w:rFonts w:ascii="Times New Roman" w:hAnsi="Times New Roman" w:cs="Times New Roman"/>
          <w:sz w:val="24"/>
          <w:szCs w:val="24"/>
        </w:rPr>
        <w:t>Pour cela l</w:t>
      </w:r>
      <w:r w:rsidR="00F74696" w:rsidRPr="006F0463">
        <w:rPr>
          <w:rFonts w:ascii="Times New Roman" w:hAnsi="Times New Roman" w:cs="Times New Roman"/>
          <w:sz w:val="24"/>
          <w:szCs w:val="24"/>
        </w:rPr>
        <w:t>e projet FIPP mobilisera différents acteurs sociopolitiques du gouvernement, de la société civile, des partis politiques, des groupes de femmes et de jeunes qui sont tous des acteurs clés du processus démocratique et de développement du pays</w:t>
      </w:r>
      <w:r w:rsidRPr="006F0463">
        <w:rPr>
          <w:rFonts w:ascii="Times New Roman" w:hAnsi="Times New Roman" w:cs="Times New Roman"/>
          <w:sz w:val="24"/>
          <w:szCs w:val="24"/>
        </w:rPr>
        <w:t xml:space="preserve">. </w:t>
      </w:r>
    </w:p>
    <w:p w14:paraId="48C7FD81" w14:textId="5D6CF597" w:rsidR="00D028B8" w:rsidRPr="0004134A" w:rsidRDefault="00D028B8" w:rsidP="00EF7727">
      <w:pPr>
        <w:pStyle w:val="NoSpacing"/>
        <w:spacing w:line="276" w:lineRule="auto"/>
        <w:ind w:left="360"/>
        <w:jc w:val="both"/>
        <w:rPr>
          <w:rFonts w:ascii="Times New Roman" w:hAnsi="Times New Roman" w:cs="Times New Roman"/>
          <w:sz w:val="24"/>
          <w:szCs w:val="24"/>
        </w:rPr>
      </w:pPr>
      <w:r w:rsidRPr="0004134A">
        <w:rPr>
          <w:rFonts w:ascii="Times New Roman" w:hAnsi="Times New Roman" w:cs="Times New Roman"/>
          <w:sz w:val="24"/>
          <w:szCs w:val="24"/>
        </w:rPr>
        <w:t>Le budget du projet s’élève à 3.160.000 Euros pour une durée de 5 ans allant du 1/3/2023 au 29/2/2028.</w:t>
      </w:r>
    </w:p>
    <w:p w14:paraId="68D80384" w14:textId="77777777" w:rsidR="00D028B8" w:rsidRPr="0004134A" w:rsidRDefault="00D028B8" w:rsidP="00D53074">
      <w:pPr>
        <w:pStyle w:val="NoSpacing"/>
        <w:spacing w:line="276" w:lineRule="auto"/>
        <w:ind w:firstLine="360"/>
        <w:jc w:val="both"/>
        <w:rPr>
          <w:rFonts w:ascii="Times New Roman" w:hAnsi="Times New Roman" w:cs="Times New Roman"/>
          <w:sz w:val="24"/>
          <w:szCs w:val="24"/>
        </w:rPr>
      </w:pPr>
    </w:p>
    <w:p w14:paraId="4D35A6A3" w14:textId="41D12FB6" w:rsidR="00D028B8" w:rsidRPr="0004134A" w:rsidRDefault="00D028B8" w:rsidP="00D53074">
      <w:pPr>
        <w:pStyle w:val="NoSpacing"/>
        <w:spacing w:line="276" w:lineRule="auto"/>
        <w:ind w:left="360"/>
        <w:jc w:val="both"/>
        <w:rPr>
          <w:rFonts w:ascii="Times New Roman" w:hAnsi="Times New Roman" w:cs="Times New Roman"/>
          <w:sz w:val="24"/>
          <w:szCs w:val="24"/>
        </w:rPr>
      </w:pPr>
      <w:r w:rsidRPr="0004134A">
        <w:rPr>
          <w:rFonts w:ascii="Times New Roman" w:hAnsi="Times New Roman" w:cs="Times New Roman"/>
          <w:sz w:val="24"/>
          <w:szCs w:val="24"/>
        </w:rPr>
        <w:t>Il est prévu dans la décision de financement la production de rapports narratifs périodiques sur l’état d’avancement des travaux, montrant les progrès réalisés conformément aux directives de l’initiative internationale pour la transparence de l’aide « IITA » décrites dans la publication du ministère des affaires étrangères.</w:t>
      </w:r>
      <w:r w:rsidR="00F10D5E" w:rsidRPr="0004134A">
        <w:rPr>
          <w:rFonts w:ascii="Times New Roman" w:hAnsi="Times New Roman" w:cs="Times New Roman"/>
          <w:sz w:val="24"/>
          <w:szCs w:val="24"/>
        </w:rPr>
        <w:t xml:space="preserve"> </w:t>
      </w:r>
      <w:r w:rsidRPr="0004134A">
        <w:rPr>
          <w:rFonts w:ascii="Times New Roman" w:hAnsi="Times New Roman" w:cs="Times New Roman"/>
          <w:sz w:val="24"/>
          <w:szCs w:val="24"/>
        </w:rPr>
        <w:t xml:space="preserve">Dans le cadre de ce projet, le premier rapport narratif annuel couvrant la période du 1/3/2023 au 31/12/2023 est dû au 31/3/2024. </w:t>
      </w:r>
    </w:p>
    <w:p w14:paraId="3A2B878B" w14:textId="08CC2A24" w:rsidR="00B62F90" w:rsidRPr="0004134A" w:rsidRDefault="00B62F90" w:rsidP="00D53074">
      <w:pPr>
        <w:pStyle w:val="NoSpacing"/>
        <w:spacing w:line="276" w:lineRule="auto"/>
        <w:ind w:left="360"/>
        <w:jc w:val="both"/>
        <w:rPr>
          <w:rFonts w:ascii="Times New Roman" w:hAnsi="Times New Roman" w:cs="Times New Roman"/>
          <w:sz w:val="24"/>
          <w:szCs w:val="24"/>
        </w:rPr>
      </w:pPr>
    </w:p>
    <w:p w14:paraId="1B794F2B" w14:textId="13D5D459" w:rsidR="00B62F90" w:rsidRDefault="00B62F90" w:rsidP="00D53074">
      <w:pPr>
        <w:pStyle w:val="NoSpacing"/>
        <w:spacing w:line="276" w:lineRule="auto"/>
        <w:ind w:left="360"/>
        <w:jc w:val="both"/>
        <w:rPr>
          <w:rFonts w:ascii="Times New Roman" w:hAnsi="Times New Roman" w:cs="Times New Roman"/>
          <w:sz w:val="24"/>
          <w:szCs w:val="24"/>
        </w:rPr>
      </w:pPr>
      <w:r w:rsidRPr="0004134A">
        <w:rPr>
          <w:rFonts w:ascii="Times New Roman" w:hAnsi="Times New Roman" w:cs="Times New Roman"/>
          <w:sz w:val="24"/>
          <w:szCs w:val="24"/>
        </w:rPr>
        <w:t xml:space="preserve">Cette première année du projet a été plutôt marquée par deux types d’activités : les activités liées à l’installation du bureau national </w:t>
      </w:r>
      <w:r w:rsidR="00F10D5E" w:rsidRPr="0004134A">
        <w:rPr>
          <w:rFonts w:ascii="Times New Roman" w:hAnsi="Times New Roman" w:cs="Times New Roman"/>
          <w:sz w:val="24"/>
          <w:szCs w:val="24"/>
        </w:rPr>
        <w:t>telles que la location et l’équipement du bureau, le recrutement de l’équipe de base</w:t>
      </w:r>
      <w:r w:rsidR="00B44213" w:rsidRPr="0004134A">
        <w:rPr>
          <w:rFonts w:ascii="Times New Roman" w:hAnsi="Times New Roman" w:cs="Times New Roman"/>
          <w:sz w:val="24"/>
          <w:szCs w:val="24"/>
        </w:rPr>
        <w:t xml:space="preserve"> « </w:t>
      </w:r>
      <w:proofErr w:type="spellStart"/>
      <w:r w:rsidR="00B44213" w:rsidRPr="0004134A">
        <w:rPr>
          <w:rFonts w:ascii="Times New Roman" w:hAnsi="Times New Roman" w:cs="Times New Roman"/>
          <w:sz w:val="24"/>
          <w:szCs w:val="24"/>
        </w:rPr>
        <w:t>core</w:t>
      </w:r>
      <w:proofErr w:type="spellEnd"/>
      <w:r w:rsidR="00B44213" w:rsidRPr="0004134A">
        <w:rPr>
          <w:rFonts w:ascii="Times New Roman" w:hAnsi="Times New Roman" w:cs="Times New Roman"/>
          <w:sz w:val="24"/>
          <w:szCs w:val="24"/>
        </w:rPr>
        <w:t xml:space="preserve"> team » et le suivi du processus d’agrément ; ainsi que</w:t>
      </w:r>
      <w:r w:rsidRPr="0004134A">
        <w:rPr>
          <w:rFonts w:ascii="Times New Roman" w:hAnsi="Times New Roman" w:cs="Times New Roman"/>
          <w:sz w:val="24"/>
          <w:szCs w:val="24"/>
        </w:rPr>
        <w:t xml:space="preserve"> </w:t>
      </w:r>
      <w:r w:rsidR="00B44213" w:rsidRPr="0004134A">
        <w:rPr>
          <w:rFonts w:ascii="Times New Roman" w:hAnsi="Times New Roman" w:cs="Times New Roman"/>
          <w:sz w:val="24"/>
          <w:szCs w:val="24"/>
        </w:rPr>
        <w:t>celles</w:t>
      </w:r>
      <w:r w:rsidRPr="0004134A">
        <w:rPr>
          <w:rFonts w:ascii="Times New Roman" w:hAnsi="Times New Roman" w:cs="Times New Roman"/>
          <w:sz w:val="24"/>
          <w:szCs w:val="24"/>
        </w:rPr>
        <w:t xml:space="preserve"> relatives au démarrage des activités proprement dites</w:t>
      </w:r>
      <w:r w:rsidR="00B44213" w:rsidRPr="0004134A">
        <w:rPr>
          <w:rFonts w:ascii="Times New Roman" w:hAnsi="Times New Roman" w:cs="Times New Roman"/>
          <w:sz w:val="24"/>
          <w:szCs w:val="24"/>
        </w:rPr>
        <w:t>, notamment la conception des outils de gestion</w:t>
      </w:r>
      <w:r w:rsidR="00A605CB" w:rsidRPr="0004134A">
        <w:rPr>
          <w:rFonts w:ascii="Times New Roman" w:hAnsi="Times New Roman" w:cs="Times New Roman"/>
          <w:sz w:val="24"/>
          <w:szCs w:val="24"/>
        </w:rPr>
        <w:t xml:space="preserve"> et de planification</w:t>
      </w:r>
      <w:r w:rsidR="00164A32" w:rsidRPr="0004134A">
        <w:rPr>
          <w:rFonts w:ascii="Times New Roman" w:hAnsi="Times New Roman" w:cs="Times New Roman"/>
          <w:sz w:val="24"/>
          <w:szCs w:val="24"/>
        </w:rPr>
        <w:t>.</w:t>
      </w:r>
      <w:r w:rsidR="008B23FD" w:rsidRPr="0004134A">
        <w:rPr>
          <w:rFonts w:ascii="Times New Roman" w:hAnsi="Times New Roman" w:cs="Times New Roman"/>
        </w:rPr>
        <w:t xml:space="preserve"> </w:t>
      </w:r>
      <w:r w:rsidR="008B23FD" w:rsidRPr="0004134A">
        <w:rPr>
          <w:rFonts w:ascii="Times New Roman" w:hAnsi="Times New Roman" w:cs="Times New Roman"/>
          <w:sz w:val="24"/>
          <w:szCs w:val="24"/>
        </w:rPr>
        <w:t>Étant donné que le NIMD n'était pas encore officiellement enregistré au cours de cette période, la mise en œuvre de la plupart des activités du projet n'était donc possible que par l'intermédiaire de partenaires de mise en œuvre locaux. Ainsi, cette première année a également été marquée par</w:t>
      </w:r>
      <w:r w:rsidR="00B44213" w:rsidRPr="0004134A">
        <w:rPr>
          <w:rFonts w:ascii="Times New Roman" w:hAnsi="Times New Roman" w:cs="Times New Roman"/>
          <w:sz w:val="24"/>
          <w:szCs w:val="24"/>
        </w:rPr>
        <w:t xml:space="preserve"> l’identification des partenaires et la signature des premiers </w:t>
      </w:r>
      <w:r w:rsidR="00B44213" w:rsidRPr="0004134A">
        <w:rPr>
          <w:rFonts w:ascii="Times New Roman" w:hAnsi="Times New Roman" w:cs="Times New Roman"/>
          <w:sz w:val="24"/>
          <w:szCs w:val="24"/>
        </w:rPr>
        <w:lastRenderedPageBreak/>
        <w:t>contrat</w:t>
      </w:r>
      <w:r w:rsidR="00EF4B59" w:rsidRPr="0004134A">
        <w:rPr>
          <w:rFonts w:ascii="Times New Roman" w:hAnsi="Times New Roman" w:cs="Times New Roman"/>
          <w:sz w:val="24"/>
          <w:szCs w:val="24"/>
        </w:rPr>
        <w:t>s</w:t>
      </w:r>
      <w:r w:rsidR="00B44213" w:rsidRPr="0004134A">
        <w:rPr>
          <w:rFonts w:ascii="Times New Roman" w:hAnsi="Times New Roman" w:cs="Times New Roman"/>
          <w:sz w:val="24"/>
          <w:szCs w:val="24"/>
        </w:rPr>
        <w:t xml:space="preserve"> de prestation </w:t>
      </w:r>
      <w:r w:rsidR="006648AC" w:rsidRPr="0004134A">
        <w:rPr>
          <w:rFonts w:ascii="Times New Roman" w:hAnsi="Times New Roman" w:cs="Times New Roman"/>
          <w:sz w:val="24"/>
          <w:szCs w:val="24"/>
        </w:rPr>
        <w:t xml:space="preserve">de services </w:t>
      </w:r>
      <w:r w:rsidR="00B44213" w:rsidRPr="0004134A">
        <w:rPr>
          <w:rFonts w:ascii="Times New Roman" w:hAnsi="Times New Roman" w:cs="Times New Roman"/>
          <w:sz w:val="24"/>
          <w:szCs w:val="24"/>
        </w:rPr>
        <w:t xml:space="preserve">pour la mise en œuvre des activités </w:t>
      </w:r>
      <w:r w:rsidR="00164A32" w:rsidRPr="0004134A">
        <w:rPr>
          <w:rFonts w:ascii="Times New Roman" w:hAnsi="Times New Roman" w:cs="Times New Roman"/>
          <w:sz w:val="24"/>
          <w:szCs w:val="24"/>
        </w:rPr>
        <w:t>et</w:t>
      </w:r>
      <w:r w:rsidR="00091EE7" w:rsidRPr="0004134A">
        <w:rPr>
          <w:rFonts w:ascii="Times New Roman" w:hAnsi="Times New Roman" w:cs="Times New Roman"/>
          <w:sz w:val="24"/>
          <w:szCs w:val="24"/>
        </w:rPr>
        <w:t xml:space="preserve"> </w:t>
      </w:r>
      <w:r w:rsidR="00B44213" w:rsidRPr="0004134A">
        <w:rPr>
          <w:rFonts w:ascii="Times New Roman" w:hAnsi="Times New Roman" w:cs="Times New Roman"/>
          <w:sz w:val="24"/>
          <w:szCs w:val="24"/>
        </w:rPr>
        <w:t>la réalisation des études de base</w:t>
      </w:r>
      <w:r w:rsidR="00091EE7" w:rsidRPr="0004134A">
        <w:rPr>
          <w:rFonts w:ascii="Times New Roman" w:hAnsi="Times New Roman" w:cs="Times New Roman"/>
          <w:sz w:val="24"/>
          <w:szCs w:val="24"/>
        </w:rPr>
        <w:t xml:space="preserve"> pour une meilleure maitrise du contexte</w:t>
      </w:r>
      <w:r w:rsidR="00B44213" w:rsidRPr="0004134A">
        <w:rPr>
          <w:rFonts w:ascii="Times New Roman" w:hAnsi="Times New Roman" w:cs="Times New Roman"/>
          <w:sz w:val="24"/>
          <w:szCs w:val="24"/>
        </w:rPr>
        <w:t>.</w:t>
      </w:r>
    </w:p>
    <w:p w14:paraId="0D4023C4" w14:textId="77777777" w:rsidR="00D64210" w:rsidRPr="0004134A" w:rsidRDefault="00D64210" w:rsidP="00D53074">
      <w:pPr>
        <w:pStyle w:val="NoSpacing"/>
        <w:spacing w:line="276" w:lineRule="auto"/>
        <w:ind w:left="360"/>
        <w:jc w:val="both"/>
        <w:rPr>
          <w:rFonts w:ascii="Times New Roman" w:hAnsi="Times New Roman" w:cs="Times New Roman"/>
          <w:sz w:val="24"/>
          <w:szCs w:val="24"/>
        </w:rPr>
      </w:pPr>
    </w:p>
    <w:p w14:paraId="7086434A" w14:textId="68C53F6A" w:rsidR="00AB3B95" w:rsidRPr="0004134A" w:rsidRDefault="00AB3B95" w:rsidP="00E76228">
      <w:pPr>
        <w:spacing w:after="0"/>
        <w:ind w:left="36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Le contexte </w:t>
      </w:r>
      <w:r w:rsidR="003E35BF" w:rsidRPr="0004134A">
        <w:rPr>
          <w:rFonts w:ascii="Times New Roman" w:hAnsi="Times New Roman" w:cs="Times New Roman"/>
          <w:bCs/>
          <w:sz w:val="24"/>
          <w:szCs w:val="24"/>
          <w:lang w:val="fr-FR"/>
        </w:rPr>
        <w:t xml:space="preserve">socio-économique et </w:t>
      </w:r>
      <w:r w:rsidRPr="0004134A">
        <w:rPr>
          <w:rFonts w:ascii="Times New Roman" w:hAnsi="Times New Roman" w:cs="Times New Roman"/>
          <w:bCs/>
          <w:sz w:val="24"/>
          <w:szCs w:val="24"/>
          <w:lang w:val="fr-FR"/>
        </w:rPr>
        <w:t>politique dans lequel la première année du projet s’est déroulée a été marqué par les éléments ci-après :</w:t>
      </w:r>
    </w:p>
    <w:p w14:paraId="21C58859" w14:textId="25C51DED" w:rsidR="00305A90" w:rsidRPr="0004134A" w:rsidRDefault="0002328E" w:rsidP="00371C58">
      <w:p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Sur le plan </w:t>
      </w:r>
      <w:r w:rsidR="00DB5185" w:rsidRPr="0004134A">
        <w:rPr>
          <w:rFonts w:ascii="Times New Roman" w:hAnsi="Times New Roman" w:cs="Times New Roman"/>
          <w:b/>
          <w:sz w:val="24"/>
          <w:szCs w:val="24"/>
          <w:lang w:val="fr-FR"/>
        </w:rPr>
        <w:t>politique</w:t>
      </w:r>
      <w:r w:rsidRPr="0004134A">
        <w:rPr>
          <w:rFonts w:ascii="Times New Roman" w:hAnsi="Times New Roman" w:cs="Times New Roman"/>
          <w:b/>
          <w:sz w:val="24"/>
          <w:szCs w:val="24"/>
          <w:lang w:val="fr-FR"/>
        </w:rPr>
        <w:t xml:space="preserve"> </w:t>
      </w:r>
    </w:p>
    <w:p w14:paraId="33B0B133" w14:textId="77777777" w:rsidR="00DB5185" w:rsidRPr="0004134A" w:rsidRDefault="00DB5185" w:rsidP="00DB5185">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Mise en place du cadre légal pour la gestion des élections de 2025-2027 caractérisé par une absence de consultation avec les parties prenantes (révision du code électoral et de la loi</w:t>
      </w:r>
      <w:r w:rsidRPr="0004134A">
        <w:rPr>
          <w:rFonts w:ascii="Times New Roman" w:hAnsi="Times New Roman" w:cs="Times New Roman"/>
          <w:sz w:val="24"/>
          <w:szCs w:val="24"/>
          <w:lang w:val="fr-FR"/>
        </w:rPr>
        <w:t xml:space="preserve"> portant réorganisation de l’administration communale, mise en place d’une nouvelle équipe de la CENI par décret n°100/238 du 11/12/2023). La désignation de l’ancien porte-parole du Gouvernement à la tête d’une structure indépendante chargée d’organiser des élections transparentes, démocratiques et inclusives a été critiquée par les partis politiques de l’opposition et une partie de l’opinion nationale ;</w:t>
      </w:r>
    </w:p>
    <w:p w14:paraId="7775A9D8" w14:textId="77777777" w:rsidR="00DB5185" w:rsidRPr="0004134A" w:rsidRDefault="00DB5185" w:rsidP="00DB5185">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sz w:val="24"/>
          <w:szCs w:val="24"/>
          <w:lang w:val="fr-FR"/>
        </w:rPr>
        <w:t>Une opposition menacée de disparition (ou presque) avec les dissensions internes au sein du principal parti d’opposition, le CNL, qui a conduit à la suspension de ses activités ; l’absence d’une politique de financement des partis politiques qui réduit plusieurs d’entre eux à une existence théorique, l’absence d’un véritable cadre de dialogue face à un FDP (Forum des Partis Politiques) peu fonctionnel ainsi que le recrutement presque forcé par le parti au pouvoir sous des menaces voilées. La naissance de deux nouveaux partis politiques qui viennent s’ajouter aux 35 déjà existants à la veille des élections de 2025, loin d’être un signe d’ouverture, traduit plutôt la volonté du parti CNDD-FDD de rester le vrai et seul maitre du jeu face à une opposition affaiblie, éparpillée, démantelée et facile à récupérer ;</w:t>
      </w:r>
    </w:p>
    <w:p w14:paraId="7801C6E4" w14:textId="77777777" w:rsidR="00DB5185" w:rsidRPr="0004134A" w:rsidRDefault="00DB5185" w:rsidP="00DB5185">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sz w:val="24"/>
          <w:szCs w:val="24"/>
          <w:lang w:val="fr-FR"/>
        </w:rPr>
        <w:t>Relations tendues avec le Rwanda ayant abouti à une nouvelle fermeture, par le Gouvernement Burundais, de tous les frontières avec ce voisin du Nord à partir du 11 janvier 2024.</w:t>
      </w:r>
    </w:p>
    <w:p w14:paraId="1FA78F0E" w14:textId="77777777" w:rsidR="00650AF1" w:rsidRPr="0004134A" w:rsidRDefault="00650AF1" w:rsidP="00650AF1">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Contrôle plus accru de l’action gouvernementale par le Parlement à travers les écoutes parlementaires/questions orales des membres du Gouvernement pour répondre aux préoccupations de la population dans plusieurs domaines (santé, éducation, solidarité, infrastructures, énergie, intérieur, relations extérieurs, commerce, etc.), mais aussi des institutions publiques telles que l’OBR, la cour des comptes ou le BBIN ;</w:t>
      </w:r>
    </w:p>
    <w:p w14:paraId="6603991C" w14:textId="77777777" w:rsidR="00DB5185" w:rsidRPr="0004134A" w:rsidRDefault="00DB5185" w:rsidP="00371C58">
      <w:pPr>
        <w:pStyle w:val="ListParagraph"/>
        <w:spacing w:after="0"/>
        <w:jc w:val="both"/>
        <w:rPr>
          <w:rFonts w:ascii="Times New Roman" w:hAnsi="Times New Roman" w:cs="Times New Roman"/>
          <w:bCs/>
          <w:sz w:val="24"/>
          <w:szCs w:val="24"/>
          <w:lang w:val="fr-FR"/>
        </w:rPr>
      </w:pPr>
    </w:p>
    <w:p w14:paraId="063ABB16" w14:textId="3DC78862" w:rsidR="00DB5185" w:rsidRPr="0004134A" w:rsidRDefault="00DB5185" w:rsidP="00371C58">
      <w:p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Sur le plan socio-économique</w:t>
      </w:r>
    </w:p>
    <w:p w14:paraId="00336831" w14:textId="6CAEBAA2" w:rsidR="00197444" w:rsidRPr="0004134A" w:rsidRDefault="00197444" w:rsidP="00D53074">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Discours engagé contre la corruption par les hautes autorités du pays bien que non traduit dans les faits au niveau des gestionnaires publics</w:t>
      </w:r>
      <w:r w:rsidR="000578A9" w:rsidRPr="0004134A">
        <w:rPr>
          <w:rFonts w:ascii="Times New Roman" w:hAnsi="Times New Roman" w:cs="Times New Roman"/>
          <w:bCs/>
          <w:sz w:val="24"/>
          <w:szCs w:val="24"/>
          <w:lang w:val="fr-FR"/>
        </w:rPr>
        <w:t> ;</w:t>
      </w:r>
    </w:p>
    <w:p w14:paraId="3A7F6B13" w14:textId="302B9BE6" w:rsidR="00091EE7" w:rsidRPr="0004134A" w:rsidRDefault="00091EE7" w:rsidP="00D53074">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Ouverture diplomatique au niveau bilatéral et multilatéral avec la participation des hautes </w:t>
      </w:r>
      <w:r w:rsidR="00B74314" w:rsidRPr="0004134A">
        <w:rPr>
          <w:rFonts w:ascii="Times New Roman" w:hAnsi="Times New Roman" w:cs="Times New Roman"/>
          <w:bCs/>
          <w:sz w:val="24"/>
          <w:szCs w:val="24"/>
          <w:lang w:val="fr-FR"/>
        </w:rPr>
        <w:t>autorités</w:t>
      </w:r>
      <w:r w:rsidRPr="0004134A">
        <w:rPr>
          <w:rFonts w:ascii="Times New Roman" w:hAnsi="Times New Roman" w:cs="Times New Roman"/>
          <w:bCs/>
          <w:sz w:val="24"/>
          <w:szCs w:val="24"/>
          <w:lang w:val="fr-FR"/>
        </w:rPr>
        <w:t xml:space="preserve"> de l</w:t>
      </w:r>
      <w:r w:rsidR="00B74314" w:rsidRPr="0004134A">
        <w:rPr>
          <w:rFonts w:ascii="Times New Roman" w:hAnsi="Times New Roman" w:cs="Times New Roman"/>
          <w:bCs/>
          <w:sz w:val="24"/>
          <w:szCs w:val="24"/>
          <w:lang w:val="fr-FR"/>
        </w:rPr>
        <w:t xml:space="preserve">a Républiques </w:t>
      </w:r>
      <w:r w:rsidRPr="0004134A">
        <w:rPr>
          <w:rFonts w:ascii="Times New Roman" w:hAnsi="Times New Roman" w:cs="Times New Roman"/>
          <w:bCs/>
          <w:sz w:val="24"/>
          <w:szCs w:val="24"/>
          <w:lang w:val="fr-FR"/>
        </w:rPr>
        <w:t>dans des</w:t>
      </w:r>
      <w:r w:rsidR="00B74314" w:rsidRPr="0004134A">
        <w:rPr>
          <w:rFonts w:ascii="Times New Roman" w:hAnsi="Times New Roman" w:cs="Times New Roman"/>
          <w:bCs/>
          <w:sz w:val="24"/>
          <w:szCs w:val="24"/>
          <w:lang w:val="fr-FR"/>
        </w:rPr>
        <w:t xml:space="preserve"> cadres de rencontres régionaux et internationaux où sont débattues les questions liées aux enjeux socio-économiques, politiques et sécuritaires dans le monde</w:t>
      </w:r>
      <w:r w:rsidR="00EF4B59" w:rsidRPr="0004134A">
        <w:rPr>
          <w:rFonts w:ascii="Times New Roman" w:hAnsi="Times New Roman" w:cs="Times New Roman"/>
          <w:bCs/>
          <w:sz w:val="24"/>
          <w:szCs w:val="24"/>
          <w:lang w:val="fr-FR"/>
        </w:rPr>
        <w:t xml:space="preserve"> et dans la région</w:t>
      </w:r>
      <w:r w:rsidR="000578A9" w:rsidRPr="0004134A">
        <w:rPr>
          <w:rFonts w:ascii="Times New Roman" w:hAnsi="Times New Roman" w:cs="Times New Roman"/>
          <w:bCs/>
          <w:sz w:val="24"/>
          <w:szCs w:val="24"/>
          <w:lang w:val="fr-FR"/>
        </w:rPr>
        <w:t> ;</w:t>
      </w:r>
    </w:p>
    <w:p w14:paraId="56FBABB5" w14:textId="735D53C1" w:rsidR="00D00028" w:rsidRPr="0004134A" w:rsidRDefault="00D00028" w:rsidP="00D53074">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Introduction de la gestion basée sur le budget-programme aux niveaux </w:t>
      </w:r>
      <w:r w:rsidR="00CA4C20" w:rsidRPr="0004134A">
        <w:rPr>
          <w:rFonts w:ascii="Times New Roman" w:hAnsi="Times New Roman" w:cs="Times New Roman"/>
          <w:bCs/>
          <w:sz w:val="24"/>
          <w:szCs w:val="24"/>
          <w:lang w:val="fr-FR"/>
        </w:rPr>
        <w:t xml:space="preserve">des départements </w:t>
      </w:r>
      <w:r w:rsidRPr="0004134A">
        <w:rPr>
          <w:rFonts w:ascii="Times New Roman" w:hAnsi="Times New Roman" w:cs="Times New Roman"/>
          <w:bCs/>
          <w:sz w:val="24"/>
          <w:szCs w:val="24"/>
          <w:lang w:val="fr-FR"/>
        </w:rPr>
        <w:t>ministériel</w:t>
      </w:r>
      <w:r w:rsidR="00CA4C20" w:rsidRPr="0004134A">
        <w:rPr>
          <w:rFonts w:ascii="Times New Roman" w:hAnsi="Times New Roman" w:cs="Times New Roman"/>
          <w:bCs/>
          <w:sz w:val="24"/>
          <w:szCs w:val="24"/>
          <w:lang w:val="fr-FR"/>
        </w:rPr>
        <w:t>s</w:t>
      </w:r>
      <w:r w:rsidRPr="0004134A">
        <w:rPr>
          <w:rFonts w:ascii="Times New Roman" w:hAnsi="Times New Roman" w:cs="Times New Roman"/>
          <w:bCs/>
          <w:sz w:val="24"/>
          <w:szCs w:val="24"/>
          <w:lang w:val="fr-FR"/>
        </w:rPr>
        <w:t xml:space="preserve"> et </w:t>
      </w:r>
      <w:r w:rsidR="00CA4C20" w:rsidRPr="0004134A">
        <w:rPr>
          <w:rFonts w:ascii="Times New Roman" w:hAnsi="Times New Roman" w:cs="Times New Roman"/>
          <w:bCs/>
          <w:sz w:val="24"/>
          <w:szCs w:val="24"/>
          <w:lang w:val="fr-FR"/>
        </w:rPr>
        <w:t>techniques</w:t>
      </w:r>
      <w:r w:rsidR="00DF580F" w:rsidRPr="0004134A">
        <w:rPr>
          <w:rFonts w:ascii="Times New Roman" w:hAnsi="Times New Roman" w:cs="Times New Roman"/>
          <w:bCs/>
          <w:sz w:val="24"/>
          <w:szCs w:val="24"/>
          <w:lang w:val="fr-FR"/>
        </w:rPr>
        <w:t xml:space="preserve"> en vue d’en améliorer la performance</w:t>
      </w:r>
      <w:r w:rsidR="000578A9" w:rsidRPr="0004134A">
        <w:rPr>
          <w:rFonts w:ascii="Times New Roman" w:hAnsi="Times New Roman" w:cs="Times New Roman"/>
          <w:bCs/>
          <w:sz w:val="24"/>
          <w:szCs w:val="24"/>
          <w:lang w:val="fr-FR"/>
        </w:rPr>
        <w:t> ;</w:t>
      </w:r>
    </w:p>
    <w:p w14:paraId="6B757555" w14:textId="7B7CF42C" w:rsidR="00B44213" w:rsidRPr="0004134A" w:rsidRDefault="00B44213" w:rsidP="00D53074">
      <w:pPr>
        <w:pStyle w:val="ListParagraph"/>
        <w:numPr>
          <w:ilvl w:val="0"/>
          <w:numId w:val="27"/>
        </w:numPr>
        <w:spacing w:after="0"/>
        <w:jc w:val="both"/>
        <w:rPr>
          <w:rFonts w:ascii="Times New Roman" w:hAnsi="Times New Roman" w:cs="Times New Roman"/>
          <w:bCs/>
          <w:sz w:val="24"/>
          <w:szCs w:val="24"/>
          <w:lang w:val="fr-FR"/>
        </w:rPr>
      </w:pPr>
      <w:r w:rsidRPr="0004134A">
        <w:rPr>
          <w:rFonts w:ascii="Times New Roman" w:hAnsi="Times New Roman" w:cs="Times New Roman"/>
          <w:sz w:val="24"/>
          <w:szCs w:val="24"/>
          <w:lang w:val="fr-FR"/>
        </w:rPr>
        <w:t>Climat de malaise social marqué par une rareté et une flambée des prix des produits de première nécessité (carburant, sucre, ciment), faible accès aux devises, fuite des cerveaux, taux élevé d’abandon scolaire, mauvais état des infrastructures routières, etc</w:t>
      </w:r>
      <w:r w:rsidR="000578A9" w:rsidRPr="0004134A">
        <w:rPr>
          <w:rFonts w:ascii="Times New Roman" w:hAnsi="Times New Roman" w:cs="Times New Roman"/>
          <w:sz w:val="24"/>
          <w:szCs w:val="24"/>
          <w:lang w:val="fr-FR"/>
        </w:rPr>
        <w:t>. ;</w:t>
      </w:r>
    </w:p>
    <w:p w14:paraId="54C6BFF3" w14:textId="4DBF142E" w:rsidR="00A50B44" w:rsidRPr="0004134A" w:rsidRDefault="00A50B44" w:rsidP="00D53074">
      <w:pPr>
        <w:spacing w:after="0"/>
        <w:jc w:val="both"/>
        <w:rPr>
          <w:rFonts w:ascii="Times New Roman" w:hAnsi="Times New Roman" w:cs="Times New Roman"/>
          <w:b/>
          <w:sz w:val="24"/>
          <w:szCs w:val="24"/>
          <w:lang w:val="fr-FR"/>
        </w:rPr>
      </w:pPr>
    </w:p>
    <w:p w14:paraId="367601A7" w14:textId="682A2E72" w:rsidR="00F7133E" w:rsidRPr="0004134A" w:rsidRDefault="00F7133E" w:rsidP="00D53074">
      <w:pPr>
        <w:spacing w:after="0"/>
        <w:jc w:val="both"/>
        <w:rPr>
          <w:rFonts w:ascii="Times New Roman" w:hAnsi="Times New Roman" w:cs="Times New Roman"/>
          <w:b/>
          <w:sz w:val="24"/>
          <w:szCs w:val="24"/>
          <w:lang w:val="fr-FR"/>
        </w:rPr>
      </w:pPr>
    </w:p>
    <w:p w14:paraId="3544AFE5" w14:textId="271CADEC" w:rsidR="00F7133E" w:rsidRPr="0004134A" w:rsidRDefault="00F7133E" w:rsidP="00D53074">
      <w:pPr>
        <w:spacing w:after="0"/>
        <w:jc w:val="both"/>
        <w:rPr>
          <w:rFonts w:ascii="Times New Roman" w:hAnsi="Times New Roman" w:cs="Times New Roman"/>
          <w:b/>
          <w:sz w:val="24"/>
          <w:szCs w:val="24"/>
          <w:lang w:val="fr-FR"/>
        </w:rPr>
      </w:pPr>
    </w:p>
    <w:p w14:paraId="5CDF5397" w14:textId="7E96BC24" w:rsidR="00F7133E" w:rsidRPr="0004134A" w:rsidRDefault="00F7133E" w:rsidP="00D53074">
      <w:pPr>
        <w:spacing w:after="0"/>
        <w:jc w:val="both"/>
        <w:rPr>
          <w:rFonts w:ascii="Times New Roman" w:hAnsi="Times New Roman" w:cs="Times New Roman"/>
          <w:b/>
          <w:sz w:val="24"/>
          <w:szCs w:val="24"/>
          <w:lang w:val="fr-FR"/>
        </w:rPr>
      </w:pPr>
    </w:p>
    <w:p w14:paraId="1C5FEF1D" w14:textId="77777777" w:rsidR="00F7133E" w:rsidRPr="0004134A" w:rsidRDefault="00F7133E" w:rsidP="00D53074">
      <w:pPr>
        <w:spacing w:after="0"/>
        <w:jc w:val="both"/>
        <w:rPr>
          <w:rFonts w:ascii="Times New Roman" w:hAnsi="Times New Roman" w:cs="Times New Roman"/>
          <w:b/>
          <w:sz w:val="24"/>
          <w:szCs w:val="24"/>
          <w:lang w:val="fr-FR"/>
        </w:rPr>
        <w:sectPr w:rsidR="00F7133E" w:rsidRPr="0004134A" w:rsidSect="00E16A53">
          <w:footerReference w:type="default" r:id="rId9"/>
          <w:pgSz w:w="12240" w:h="15840"/>
          <w:pgMar w:top="720" w:right="720" w:bottom="720" w:left="720" w:header="720" w:footer="720" w:gutter="0"/>
          <w:cols w:space="720"/>
          <w:docGrid w:linePitch="360"/>
        </w:sectPr>
      </w:pPr>
    </w:p>
    <w:p w14:paraId="75A43F53" w14:textId="77777777" w:rsidR="00A3274A" w:rsidRPr="0004134A" w:rsidRDefault="00A3274A" w:rsidP="00A3274A">
      <w:pPr>
        <w:pStyle w:val="ListParagraph"/>
        <w:numPr>
          <w:ilvl w:val="0"/>
          <w:numId w:val="3"/>
        </w:numPr>
        <w:rPr>
          <w:rFonts w:ascii="Times New Roman" w:hAnsi="Times New Roman" w:cs="Times New Roman"/>
          <w:b/>
          <w:sz w:val="24"/>
          <w:szCs w:val="24"/>
          <w:lang w:val="fr-FR"/>
        </w:rPr>
      </w:pPr>
      <w:r w:rsidRPr="0004134A">
        <w:rPr>
          <w:rFonts w:ascii="Times New Roman" w:hAnsi="Times New Roman" w:cs="Times New Roman"/>
          <w:b/>
          <w:sz w:val="24"/>
          <w:szCs w:val="24"/>
          <w:lang w:val="fr-FR"/>
        </w:rPr>
        <w:lastRenderedPageBreak/>
        <w:t>Rappel des activités prévues/résultats attendus pour la période de rapportage</w:t>
      </w:r>
    </w:p>
    <w:p w14:paraId="391E583A" w14:textId="77777777" w:rsidR="00A3274A" w:rsidRPr="0004134A" w:rsidRDefault="00A3274A" w:rsidP="00A3274A">
      <w:pPr>
        <w:pStyle w:val="ListParagraph"/>
        <w:spacing w:after="0"/>
        <w:jc w:val="both"/>
        <w:rPr>
          <w:rFonts w:ascii="Times New Roman" w:hAnsi="Times New Roman" w:cs="Times New Roman"/>
          <w:b/>
          <w:sz w:val="24"/>
          <w:szCs w:val="24"/>
          <w:lang w:val="fr-FR"/>
        </w:rPr>
      </w:pPr>
    </w:p>
    <w:tbl>
      <w:tblPr>
        <w:tblW w:w="14537" w:type="dxa"/>
        <w:tblInd w:w="-147" w:type="dxa"/>
        <w:tblLook w:val="04A0" w:firstRow="1" w:lastRow="0" w:firstColumn="1" w:lastColumn="0" w:noHBand="0" w:noVBand="1"/>
      </w:tblPr>
      <w:tblGrid>
        <w:gridCol w:w="2142"/>
        <w:gridCol w:w="2190"/>
        <w:gridCol w:w="5936"/>
        <w:gridCol w:w="597"/>
        <w:gridCol w:w="306"/>
        <w:gridCol w:w="306"/>
        <w:gridCol w:w="306"/>
        <w:gridCol w:w="306"/>
        <w:gridCol w:w="306"/>
        <w:gridCol w:w="306"/>
        <w:gridCol w:w="306"/>
        <w:gridCol w:w="306"/>
        <w:gridCol w:w="306"/>
        <w:gridCol w:w="306"/>
        <w:gridCol w:w="306"/>
        <w:gridCol w:w="306"/>
      </w:tblGrid>
      <w:tr w:rsidR="00A3274A" w:rsidRPr="0004134A" w14:paraId="2876F12C" w14:textId="77777777" w:rsidTr="006C4B1E">
        <w:trPr>
          <w:trHeight w:val="240"/>
        </w:trPr>
        <w:tc>
          <w:tcPr>
            <w:tcW w:w="2142"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5C2B7353"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OLT</w:t>
            </w:r>
          </w:p>
        </w:tc>
        <w:tc>
          <w:tcPr>
            <w:tcW w:w="2190" w:type="dxa"/>
            <w:vMerge w:val="restart"/>
            <w:tcBorders>
              <w:top w:val="single" w:sz="4" w:space="0" w:color="auto"/>
              <w:left w:val="nil"/>
              <w:bottom w:val="single" w:sz="4" w:space="0" w:color="auto"/>
              <w:right w:val="single" w:sz="4" w:space="0" w:color="auto"/>
            </w:tcBorders>
            <w:shd w:val="clear" w:color="auto" w:fill="DEEAF6" w:themeFill="accent5" w:themeFillTint="33"/>
            <w:noWrap/>
            <w:hideMark/>
          </w:tcPr>
          <w:p w14:paraId="09F41138" w14:textId="77777777" w:rsidR="00A3274A" w:rsidRPr="0004134A" w:rsidRDefault="00A3274A" w:rsidP="006C4B1E">
            <w:pPr>
              <w:spacing w:after="0" w:line="240" w:lineRule="auto"/>
              <w:rPr>
                <w:rFonts w:ascii="Times New Roman" w:eastAsia="Times New Roman" w:hAnsi="Times New Roman" w:cs="Times New Roman"/>
                <w:b/>
                <w:bCs/>
                <w:sz w:val="18"/>
                <w:szCs w:val="18"/>
              </w:rPr>
            </w:pPr>
            <w:proofErr w:type="spellStart"/>
            <w:r w:rsidRPr="0004134A">
              <w:rPr>
                <w:rFonts w:ascii="Times New Roman" w:eastAsia="Times New Roman" w:hAnsi="Times New Roman" w:cs="Times New Roman"/>
                <w:b/>
                <w:bCs/>
                <w:sz w:val="18"/>
                <w:szCs w:val="18"/>
              </w:rPr>
              <w:t>Résultats</w:t>
            </w:r>
            <w:proofErr w:type="spellEnd"/>
            <w:r w:rsidRPr="0004134A">
              <w:rPr>
                <w:rFonts w:ascii="Times New Roman" w:eastAsia="Times New Roman" w:hAnsi="Times New Roman" w:cs="Times New Roman"/>
                <w:b/>
                <w:bCs/>
                <w:sz w:val="18"/>
                <w:szCs w:val="18"/>
              </w:rPr>
              <w:t xml:space="preserve"> </w:t>
            </w:r>
            <w:proofErr w:type="spellStart"/>
            <w:r w:rsidRPr="0004134A">
              <w:rPr>
                <w:rFonts w:ascii="Times New Roman" w:eastAsia="Times New Roman" w:hAnsi="Times New Roman" w:cs="Times New Roman"/>
                <w:b/>
                <w:bCs/>
                <w:sz w:val="18"/>
                <w:szCs w:val="18"/>
              </w:rPr>
              <w:t>intermédiaires</w:t>
            </w:r>
            <w:proofErr w:type="spellEnd"/>
          </w:p>
        </w:tc>
        <w:tc>
          <w:tcPr>
            <w:tcW w:w="5936"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7345518E" w14:textId="77777777" w:rsidR="00A3274A" w:rsidRPr="0004134A" w:rsidRDefault="00A3274A" w:rsidP="006C4B1E">
            <w:pPr>
              <w:spacing w:after="0" w:line="240" w:lineRule="auto"/>
              <w:rPr>
                <w:rFonts w:ascii="Times New Roman" w:eastAsia="Times New Roman" w:hAnsi="Times New Roman" w:cs="Times New Roman"/>
                <w:b/>
                <w:bCs/>
                <w:sz w:val="18"/>
                <w:szCs w:val="18"/>
              </w:rPr>
            </w:pPr>
            <w:proofErr w:type="spellStart"/>
            <w:r w:rsidRPr="0004134A">
              <w:rPr>
                <w:rFonts w:ascii="Times New Roman" w:eastAsia="Times New Roman" w:hAnsi="Times New Roman" w:cs="Times New Roman"/>
                <w:b/>
                <w:bCs/>
                <w:sz w:val="18"/>
                <w:szCs w:val="18"/>
              </w:rPr>
              <w:t>Activités</w:t>
            </w:r>
            <w:proofErr w:type="spellEnd"/>
          </w:p>
        </w:tc>
        <w:tc>
          <w:tcPr>
            <w:tcW w:w="4269" w:type="dxa"/>
            <w:gridSpan w:val="13"/>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4556A7FA" w14:textId="77777777" w:rsidR="00A3274A" w:rsidRPr="0004134A" w:rsidRDefault="00A3274A" w:rsidP="006C4B1E">
            <w:pPr>
              <w:spacing w:after="0" w:line="240" w:lineRule="auto"/>
              <w:jc w:val="center"/>
              <w:rPr>
                <w:rFonts w:ascii="Times New Roman" w:eastAsia="Times New Roman" w:hAnsi="Times New Roman" w:cs="Times New Roman"/>
                <w:b/>
                <w:bCs/>
                <w:sz w:val="18"/>
                <w:szCs w:val="18"/>
              </w:rPr>
            </w:pPr>
            <w:proofErr w:type="spellStart"/>
            <w:r w:rsidRPr="0004134A">
              <w:rPr>
                <w:rFonts w:ascii="Times New Roman" w:eastAsia="Times New Roman" w:hAnsi="Times New Roman" w:cs="Times New Roman"/>
                <w:b/>
                <w:bCs/>
                <w:sz w:val="18"/>
                <w:szCs w:val="18"/>
              </w:rPr>
              <w:t>Période</w:t>
            </w:r>
            <w:proofErr w:type="spellEnd"/>
          </w:p>
        </w:tc>
      </w:tr>
      <w:tr w:rsidR="00A3274A" w:rsidRPr="0004134A" w14:paraId="2F8F4463" w14:textId="77777777" w:rsidTr="006C4B1E">
        <w:trPr>
          <w:trHeight w:val="240"/>
        </w:trPr>
        <w:tc>
          <w:tcPr>
            <w:tcW w:w="2142"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0EE62B"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2190" w:type="dxa"/>
            <w:vMerge/>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4A100E0"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5936"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FAB5197"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597" w:type="dxa"/>
            <w:tcBorders>
              <w:top w:val="nil"/>
              <w:left w:val="nil"/>
              <w:bottom w:val="single" w:sz="4" w:space="0" w:color="auto"/>
              <w:right w:val="single" w:sz="4" w:space="0" w:color="auto"/>
            </w:tcBorders>
            <w:shd w:val="clear" w:color="auto" w:fill="DEEAF6" w:themeFill="accent5" w:themeFillTint="33"/>
            <w:noWrap/>
            <w:vAlign w:val="bottom"/>
            <w:hideMark/>
          </w:tcPr>
          <w:p w14:paraId="0A65DAE3"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Sept</w:t>
            </w:r>
          </w:p>
        </w:tc>
        <w:tc>
          <w:tcPr>
            <w:tcW w:w="1224" w:type="dxa"/>
            <w:gridSpan w:val="4"/>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008ADF74" w14:textId="77777777" w:rsidR="00A3274A" w:rsidRPr="0004134A" w:rsidRDefault="00A3274A" w:rsidP="006C4B1E">
            <w:pPr>
              <w:spacing w:after="0" w:line="240" w:lineRule="auto"/>
              <w:jc w:val="center"/>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Octobre</w:t>
            </w:r>
          </w:p>
        </w:tc>
        <w:tc>
          <w:tcPr>
            <w:tcW w:w="1224" w:type="dxa"/>
            <w:gridSpan w:val="4"/>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6AAB2653" w14:textId="77777777" w:rsidR="00A3274A" w:rsidRPr="0004134A" w:rsidRDefault="00A3274A" w:rsidP="006C4B1E">
            <w:pPr>
              <w:spacing w:after="0" w:line="240" w:lineRule="auto"/>
              <w:jc w:val="center"/>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Novembre</w:t>
            </w:r>
          </w:p>
        </w:tc>
        <w:tc>
          <w:tcPr>
            <w:tcW w:w="1224" w:type="dxa"/>
            <w:gridSpan w:val="4"/>
            <w:tcBorders>
              <w:top w:val="single" w:sz="4" w:space="0" w:color="auto"/>
              <w:left w:val="nil"/>
              <w:bottom w:val="single" w:sz="4" w:space="0" w:color="auto"/>
              <w:right w:val="single" w:sz="4" w:space="0" w:color="000000"/>
            </w:tcBorders>
            <w:shd w:val="clear" w:color="auto" w:fill="DEEAF6" w:themeFill="accent5" w:themeFillTint="33"/>
            <w:noWrap/>
            <w:vAlign w:val="bottom"/>
            <w:hideMark/>
          </w:tcPr>
          <w:p w14:paraId="42EA3F68" w14:textId="77777777" w:rsidR="00A3274A" w:rsidRPr="0004134A" w:rsidRDefault="00A3274A" w:rsidP="006C4B1E">
            <w:pPr>
              <w:spacing w:after="0" w:line="240" w:lineRule="auto"/>
              <w:jc w:val="center"/>
              <w:rPr>
                <w:rFonts w:ascii="Times New Roman" w:eastAsia="Times New Roman" w:hAnsi="Times New Roman" w:cs="Times New Roman"/>
                <w:b/>
                <w:bCs/>
                <w:sz w:val="18"/>
                <w:szCs w:val="18"/>
              </w:rPr>
            </w:pPr>
            <w:proofErr w:type="spellStart"/>
            <w:r w:rsidRPr="0004134A">
              <w:rPr>
                <w:rFonts w:ascii="Times New Roman" w:eastAsia="Times New Roman" w:hAnsi="Times New Roman" w:cs="Times New Roman"/>
                <w:b/>
                <w:bCs/>
                <w:sz w:val="18"/>
                <w:szCs w:val="18"/>
              </w:rPr>
              <w:t>Décembre</w:t>
            </w:r>
            <w:proofErr w:type="spellEnd"/>
          </w:p>
        </w:tc>
      </w:tr>
      <w:tr w:rsidR="00A3274A" w:rsidRPr="0004134A" w14:paraId="29A96EF0" w14:textId="77777777" w:rsidTr="006C4B1E">
        <w:trPr>
          <w:trHeight w:val="240"/>
        </w:trPr>
        <w:tc>
          <w:tcPr>
            <w:tcW w:w="2142" w:type="dxa"/>
            <w:tcBorders>
              <w:top w:val="single" w:sz="4" w:space="0" w:color="auto"/>
              <w:left w:val="single" w:sz="4" w:space="0" w:color="auto"/>
              <w:bottom w:val="nil"/>
              <w:right w:val="single" w:sz="4" w:space="0" w:color="auto"/>
            </w:tcBorders>
            <w:shd w:val="clear" w:color="auto" w:fill="DEEAF6" w:themeFill="accent5" w:themeFillTint="33"/>
            <w:noWrap/>
            <w:hideMark/>
          </w:tcPr>
          <w:p w14:paraId="263F4802"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 </w:t>
            </w:r>
          </w:p>
        </w:tc>
        <w:tc>
          <w:tcPr>
            <w:tcW w:w="2190" w:type="dxa"/>
            <w:tcBorders>
              <w:top w:val="single" w:sz="4" w:space="0" w:color="auto"/>
              <w:left w:val="nil"/>
              <w:bottom w:val="single" w:sz="4" w:space="0" w:color="auto"/>
              <w:right w:val="single" w:sz="4" w:space="0" w:color="auto"/>
            </w:tcBorders>
            <w:shd w:val="clear" w:color="auto" w:fill="DEEAF6" w:themeFill="accent5" w:themeFillTint="33"/>
            <w:noWrap/>
            <w:hideMark/>
          </w:tcPr>
          <w:p w14:paraId="64BA377C"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 </w:t>
            </w:r>
          </w:p>
        </w:tc>
        <w:tc>
          <w:tcPr>
            <w:tcW w:w="5936" w:type="dxa"/>
            <w:tcBorders>
              <w:top w:val="single" w:sz="4" w:space="0" w:color="auto"/>
              <w:left w:val="nil"/>
              <w:bottom w:val="single" w:sz="4" w:space="0" w:color="auto"/>
              <w:right w:val="single" w:sz="4" w:space="0" w:color="auto"/>
            </w:tcBorders>
            <w:shd w:val="clear" w:color="auto" w:fill="DEEAF6" w:themeFill="accent5" w:themeFillTint="33"/>
            <w:noWrap/>
            <w:hideMark/>
          </w:tcPr>
          <w:p w14:paraId="56EF8A2E"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 </w:t>
            </w:r>
          </w:p>
        </w:tc>
        <w:tc>
          <w:tcPr>
            <w:tcW w:w="597" w:type="dxa"/>
            <w:tcBorders>
              <w:top w:val="nil"/>
              <w:left w:val="nil"/>
              <w:bottom w:val="single" w:sz="4" w:space="0" w:color="auto"/>
              <w:right w:val="single" w:sz="4" w:space="0" w:color="auto"/>
            </w:tcBorders>
            <w:shd w:val="clear" w:color="auto" w:fill="DEEAF6" w:themeFill="accent5" w:themeFillTint="33"/>
            <w:noWrap/>
            <w:vAlign w:val="bottom"/>
            <w:hideMark/>
          </w:tcPr>
          <w:p w14:paraId="3E94E366"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4</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70E48DFA"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1</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0B27AC6E"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2</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0C0EAE23"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3</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2A3B34B5"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4</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3C61BBE0"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1</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0C715C17"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2</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73E69E6B"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3</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71585452"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4</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64A7CBE4"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1</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1445DEA5"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2</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577B1A3C"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3</w:t>
            </w:r>
          </w:p>
        </w:tc>
        <w:tc>
          <w:tcPr>
            <w:tcW w:w="306" w:type="dxa"/>
            <w:tcBorders>
              <w:top w:val="nil"/>
              <w:left w:val="nil"/>
              <w:bottom w:val="single" w:sz="4" w:space="0" w:color="auto"/>
              <w:right w:val="single" w:sz="4" w:space="0" w:color="auto"/>
            </w:tcBorders>
            <w:shd w:val="clear" w:color="auto" w:fill="DEEAF6" w:themeFill="accent5" w:themeFillTint="33"/>
            <w:noWrap/>
            <w:vAlign w:val="bottom"/>
            <w:hideMark/>
          </w:tcPr>
          <w:p w14:paraId="28AA55C7" w14:textId="77777777" w:rsidR="00A3274A" w:rsidRPr="0004134A" w:rsidRDefault="00A3274A" w:rsidP="006C4B1E">
            <w:pPr>
              <w:spacing w:after="0" w:line="240" w:lineRule="auto"/>
              <w:jc w:val="right"/>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4</w:t>
            </w:r>
          </w:p>
        </w:tc>
      </w:tr>
      <w:tr w:rsidR="00A3274A" w:rsidRPr="00911768" w14:paraId="471E1E8C" w14:textId="77777777" w:rsidTr="006C4B1E">
        <w:trPr>
          <w:trHeight w:val="240"/>
        </w:trPr>
        <w:tc>
          <w:tcPr>
            <w:tcW w:w="2142" w:type="dxa"/>
            <w:vMerge w:val="restart"/>
            <w:tcBorders>
              <w:top w:val="single" w:sz="4" w:space="0" w:color="auto"/>
              <w:left w:val="single" w:sz="4" w:space="0" w:color="auto"/>
              <w:bottom w:val="single" w:sz="4" w:space="0" w:color="000000"/>
              <w:right w:val="single" w:sz="4" w:space="0" w:color="auto"/>
            </w:tcBorders>
            <w:shd w:val="clear" w:color="auto" w:fill="DEEAF6" w:themeFill="accent5" w:themeFillTint="33"/>
            <w:hideMark/>
          </w:tcPr>
          <w:p w14:paraId="6411B72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OLT 1</w:t>
            </w:r>
            <w:r w:rsidRPr="0004134A">
              <w:rPr>
                <w:rFonts w:ascii="Times New Roman" w:eastAsia="Times New Roman" w:hAnsi="Times New Roman" w:cs="Times New Roman"/>
                <w:b/>
                <w:bCs/>
                <w:sz w:val="18"/>
                <w:szCs w:val="18"/>
                <w:lang w:val="fr-FR"/>
              </w:rPr>
              <w:br/>
              <w:t>Les partis politiques ont renforcé leur capacité à s'engager de manière significative dans les processus politiques et électoraux.</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ABC4A2"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xml:space="preserve">1.1: Des plans stratégiques des partis politiques sont mis en place pour le renforcement des capacités dans les domaines du développement de programmes politiques, de la démocratie interne et du développement organisationnel </w:t>
            </w:r>
          </w:p>
        </w:tc>
        <w:tc>
          <w:tcPr>
            <w:tcW w:w="5936" w:type="dxa"/>
            <w:tcBorders>
              <w:top w:val="nil"/>
              <w:left w:val="nil"/>
              <w:bottom w:val="single" w:sz="4" w:space="0" w:color="auto"/>
              <w:right w:val="single" w:sz="4" w:space="0" w:color="auto"/>
            </w:tcBorders>
            <w:shd w:val="clear" w:color="auto" w:fill="auto"/>
            <w:hideMark/>
          </w:tcPr>
          <w:p w14:paraId="56A34B8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A1.1.1 Identification et consultations initiales avec les parties prenantes</w:t>
            </w:r>
          </w:p>
        </w:tc>
        <w:tc>
          <w:tcPr>
            <w:tcW w:w="597" w:type="dxa"/>
            <w:tcBorders>
              <w:top w:val="nil"/>
              <w:left w:val="nil"/>
              <w:bottom w:val="single" w:sz="4" w:space="0" w:color="auto"/>
              <w:right w:val="single" w:sz="4" w:space="0" w:color="auto"/>
            </w:tcBorders>
            <w:shd w:val="clear" w:color="000000" w:fill="FFC000"/>
            <w:noWrap/>
            <w:vAlign w:val="bottom"/>
            <w:hideMark/>
          </w:tcPr>
          <w:p w14:paraId="51962BC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0919423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90CF252"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0B9072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0555764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3AA78AB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4880564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E7BDC67"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0C3551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0A49FB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68EE34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02B2DBF1"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2AC4D4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r>
      <w:tr w:rsidR="00A3274A" w:rsidRPr="00911768" w14:paraId="203EAB88" w14:textId="77777777" w:rsidTr="006C4B1E">
        <w:trPr>
          <w:trHeight w:val="552"/>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6986CBB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7341B957"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5936" w:type="dxa"/>
            <w:tcBorders>
              <w:top w:val="nil"/>
              <w:left w:val="nil"/>
              <w:bottom w:val="single" w:sz="4" w:space="0" w:color="auto"/>
              <w:right w:val="single" w:sz="4" w:space="0" w:color="auto"/>
            </w:tcBorders>
            <w:shd w:val="clear" w:color="auto" w:fill="auto"/>
            <w:hideMark/>
          </w:tcPr>
          <w:p w14:paraId="3B702F9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A1.1.2 Étude + restitution d'analyse de base/d'évaluation des besoins par rapport au paysage politique, attitudes et comportement </w:t>
            </w:r>
          </w:p>
        </w:tc>
        <w:tc>
          <w:tcPr>
            <w:tcW w:w="597" w:type="dxa"/>
            <w:tcBorders>
              <w:top w:val="nil"/>
              <w:left w:val="nil"/>
              <w:bottom w:val="single" w:sz="4" w:space="0" w:color="auto"/>
              <w:right w:val="single" w:sz="4" w:space="0" w:color="auto"/>
            </w:tcBorders>
            <w:shd w:val="clear" w:color="000000" w:fill="FFC000"/>
            <w:noWrap/>
            <w:vAlign w:val="bottom"/>
            <w:hideMark/>
          </w:tcPr>
          <w:p w14:paraId="59DED71F"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4EFB898"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0B89947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381216CA"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90110A3"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8E7FB1B"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69915FF"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9EDB3A7"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F11C33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77BF67D"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9AC18D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A42AF1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B434F1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r>
      <w:tr w:rsidR="00A3274A" w:rsidRPr="00911768" w14:paraId="56A1248D" w14:textId="77777777" w:rsidTr="006C4B1E">
        <w:trPr>
          <w:trHeight w:val="480"/>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F47496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0CD731A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5936" w:type="dxa"/>
            <w:tcBorders>
              <w:top w:val="nil"/>
              <w:left w:val="nil"/>
              <w:bottom w:val="single" w:sz="4" w:space="0" w:color="auto"/>
              <w:right w:val="nil"/>
            </w:tcBorders>
            <w:shd w:val="clear" w:color="auto" w:fill="auto"/>
            <w:hideMark/>
          </w:tcPr>
          <w:p w14:paraId="3698D9F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A1.1.3. Développement du contenu des plans stratégiques et programmes politiques  </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20EDB936"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5AE70B1B"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CA1F761"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C9C25A6"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D5D09E1"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550B588"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4511678"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5D7E14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5EAE313"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F1607C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3B360A48"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33538A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BCB705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r>
      <w:tr w:rsidR="00A3274A" w:rsidRPr="00911768" w14:paraId="221BCD73" w14:textId="77777777" w:rsidTr="006C4B1E">
        <w:trPr>
          <w:trHeight w:val="204"/>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7F040D7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nil"/>
            </w:tcBorders>
            <w:shd w:val="clear" w:color="000000" w:fill="000000"/>
            <w:noWrap/>
            <w:hideMark/>
          </w:tcPr>
          <w:p w14:paraId="59864D33"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5936" w:type="dxa"/>
            <w:tcBorders>
              <w:top w:val="nil"/>
              <w:left w:val="single" w:sz="4" w:space="0" w:color="auto"/>
              <w:bottom w:val="nil"/>
              <w:right w:val="single" w:sz="4" w:space="0" w:color="auto"/>
            </w:tcBorders>
            <w:shd w:val="clear" w:color="000000" w:fill="000000"/>
            <w:hideMark/>
          </w:tcPr>
          <w:p w14:paraId="104C80D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597" w:type="dxa"/>
            <w:tcBorders>
              <w:top w:val="nil"/>
              <w:left w:val="nil"/>
              <w:bottom w:val="single" w:sz="4" w:space="0" w:color="auto"/>
              <w:right w:val="single" w:sz="4" w:space="0" w:color="auto"/>
            </w:tcBorders>
            <w:shd w:val="clear" w:color="000000" w:fill="000000"/>
            <w:noWrap/>
            <w:vAlign w:val="bottom"/>
            <w:hideMark/>
          </w:tcPr>
          <w:p w14:paraId="61F6528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1C8C9E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EF679F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0B294E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E086D3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453A3E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77C3166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240411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60D118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7E67290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69E1DC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AEA321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590766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7107E5DD" w14:textId="77777777" w:rsidTr="006C4B1E">
        <w:trPr>
          <w:trHeight w:val="1344"/>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1FA581C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single" w:sz="4" w:space="0" w:color="auto"/>
            </w:tcBorders>
            <w:shd w:val="clear" w:color="auto" w:fill="auto"/>
            <w:hideMark/>
          </w:tcPr>
          <w:p w14:paraId="2B718B3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xml:space="preserve"> 1.2 : Les partis politiques élaborent, distribuent et font la campagne électorale sur la base de leurs programmes contextualisés </w:t>
            </w:r>
          </w:p>
        </w:tc>
        <w:tc>
          <w:tcPr>
            <w:tcW w:w="5936" w:type="dxa"/>
            <w:tcBorders>
              <w:top w:val="single" w:sz="4" w:space="0" w:color="auto"/>
              <w:left w:val="nil"/>
              <w:bottom w:val="nil"/>
              <w:right w:val="single" w:sz="4" w:space="0" w:color="auto"/>
            </w:tcBorders>
            <w:shd w:val="clear" w:color="auto" w:fill="auto"/>
            <w:hideMark/>
          </w:tcPr>
          <w:p w14:paraId="3DF571A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A1.2.3 Appuyer le Ministère de l’Intérieur à organiser un atelier de réflexion avec les partis politiques, le FDP et la CENI sur les nouvelles dispositions du code électoral, le processus de résolution des litiges électoraux, les attitudes et les comportements civiques à adopter pendant la période électorale et post-électorale </w:t>
            </w:r>
          </w:p>
        </w:tc>
        <w:tc>
          <w:tcPr>
            <w:tcW w:w="597" w:type="dxa"/>
            <w:tcBorders>
              <w:top w:val="nil"/>
              <w:left w:val="nil"/>
              <w:bottom w:val="single" w:sz="4" w:space="0" w:color="auto"/>
              <w:right w:val="single" w:sz="4" w:space="0" w:color="auto"/>
            </w:tcBorders>
            <w:shd w:val="clear" w:color="auto" w:fill="auto"/>
            <w:noWrap/>
            <w:vAlign w:val="bottom"/>
            <w:hideMark/>
          </w:tcPr>
          <w:p w14:paraId="0C14E20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82F739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F72544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017FB4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30F20A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665061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CA8065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50706F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9A45FF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202865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5E8518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C8CA26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A3F14A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7B063425" w14:textId="77777777" w:rsidTr="006C4B1E">
        <w:trPr>
          <w:trHeight w:val="216"/>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570A4D0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nil"/>
            </w:tcBorders>
            <w:shd w:val="clear" w:color="000000" w:fill="000000"/>
            <w:hideMark/>
          </w:tcPr>
          <w:p w14:paraId="41396480"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5936" w:type="dxa"/>
            <w:tcBorders>
              <w:top w:val="single" w:sz="4" w:space="0" w:color="auto"/>
              <w:left w:val="single" w:sz="4" w:space="0" w:color="auto"/>
              <w:bottom w:val="nil"/>
              <w:right w:val="single" w:sz="4" w:space="0" w:color="auto"/>
            </w:tcBorders>
            <w:shd w:val="clear" w:color="000000" w:fill="000000"/>
            <w:hideMark/>
          </w:tcPr>
          <w:p w14:paraId="51D1585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597" w:type="dxa"/>
            <w:tcBorders>
              <w:top w:val="nil"/>
              <w:left w:val="nil"/>
              <w:bottom w:val="single" w:sz="4" w:space="0" w:color="auto"/>
              <w:right w:val="single" w:sz="4" w:space="0" w:color="auto"/>
            </w:tcBorders>
            <w:shd w:val="clear" w:color="000000" w:fill="000000"/>
            <w:noWrap/>
            <w:vAlign w:val="bottom"/>
            <w:hideMark/>
          </w:tcPr>
          <w:p w14:paraId="6737EE2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7B75BF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050668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277B1C2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8F47B8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63302F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E04B3C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57216D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4E3E4E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5D0D90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823492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CB9FB9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5F59FF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55003F49" w14:textId="77777777" w:rsidTr="006C4B1E">
        <w:trPr>
          <w:trHeight w:val="960"/>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380B6DD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val="restart"/>
            <w:tcBorders>
              <w:top w:val="single" w:sz="4" w:space="0" w:color="auto"/>
              <w:left w:val="nil"/>
              <w:bottom w:val="single" w:sz="4" w:space="0" w:color="auto"/>
              <w:right w:val="single" w:sz="4" w:space="0" w:color="auto"/>
            </w:tcBorders>
            <w:shd w:val="clear" w:color="auto" w:fill="auto"/>
            <w:hideMark/>
          </w:tcPr>
          <w:p w14:paraId="2981E1CB"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xml:space="preserve"> 1.3 : Les partis politiques mettent en place des structures internes de consultation et de coordination au sein de leurs organisations et avec l'extérieur</w:t>
            </w:r>
          </w:p>
        </w:tc>
        <w:tc>
          <w:tcPr>
            <w:tcW w:w="5936" w:type="dxa"/>
            <w:tcBorders>
              <w:top w:val="single" w:sz="4" w:space="0" w:color="auto"/>
              <w:left w:val="nil"/>
              <w:bottom w:val="single" w:sz="4" w:space="0" w:color="auto"/>
              <w:right w:val="single" w:sz="4" w:space="0" w:color="auto"/>
            </w:tcBorders>
            <w:shd w:val="clear" w:color="auto" w:fill="auto"/>
            <w:hideMark/>
          </w:tcPr>
          <w:p w14:paraId="76BFF8E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A1.3.1 Organiser des réunions consultatives avec les partis politiques sur le renforcement (ou la mise en place) de structures internes de coordination, de consultation et de gestion intégrant la dimension de genre aux niveaux local, communal et provincial (procédures de leur mise en place et de leur gestion)</w:t>
            </w:r>
          </w:p>
        </w:tc>
        <w:tc>
          <w:tcPr>
            <w:tcW w:w="597" w:type="dxa"/>
            <w:tcBorders>
              <w:top w:val="nil"/>
              <w:left w:val="nil"/>
              <w:bottom w:val="single" w:sz="4" w:space="0" w:color="auto"/>
              <w:right w:val="single" w:sz="4" w:space="0" w:color="auto"/>
            </w:tcBorders>
            <w:shd w:val="clear" w:color="auto" w:fill="auto"/>
            <w:noWrap/>
            <w:vAlign w:val="bottom"/>
            <w:hideMark/>
          </w:tcPr>
          <w:p w14:paraId="3DBD36D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EEDF6D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A22EE3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91AA87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EBD1B2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7C72C5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EFCCD8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365E8F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7A84B8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E65C85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1C4879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B9212E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DEC157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04134A" w14:paraId="6D494888" w14:textId="77777777" w:rsidTr="00A3274A">
        <w:trPr>
          <w:trHeight w:val="745"/>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0588B12F"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tcBorders>
              <w:top w:val="single" w:sz="4" w:space="0" w:color="auto"/>
              <w:left w:val="nil"/>
              <w:bottom w:val="single" w:sz="4" w:space="0" w:color="auto"/>
              <w:right w:val="single" w:sz="4" w:space="0" w:color="auto"/>
            </w:tcBorders>
            <w:vAlign w:val="center"/>
            <w:hideMark/>
          </w:tcPr>
          <w:p w14:paraId="68020D7F"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5936" w:type="dxa"/>
            <w:tcBorders>
              <w:top w:val="nil"/>
              <w:left w:val="nil"/>
              <w:bottom w:val="single" w:sz="4" w:space="0" w:color="auto"/>
              <w:right w:val="nil"/>
            </w:tcBorders>
            <w:shd w:val="clear" w:color="auto" w:fill="auto"/>
            <w:hideMark/>
          </w:tcPr>
          <w:p w14:paraId="31CCAE89"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lang w:val="fr-FR"/>
              </w:rPr>
              <w:t xml:space="preserve">A 1.3.2 Inciter les dirigeants des partis politiques à être proches de leurs membres avec des actions de responsabilisation des jeunes, de sensibilisation et de consultation y compris les niveaux communal et collinaire. </w:t>
            </w:r>
            <w:r w:rsidRPr="0004134A">
              <w:rPr>
                <w:rFonts w:ascii="Times New Roman" w:eastAsia="Times New Roman" w:hAnsi="Times New Roman" w:cs="Times New Roman"/>
                <w:sz w:val="18"/>
                <w:szCs w:val="18"/>
              </w:rPr>
              <w:t xml:space="preserve">(Lien avec BICIII, CENAP et ICB).  </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45078BE"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E34C2A0"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791B5767"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8F4FE2F"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9C81CFA"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D0C7CBB"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31A10F1"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A089C87"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769E2F9"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43554EE"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D080C92"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8D71C45"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F647E2D"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r>
      <w:tr w:rsidR="00A3274A" w:rsidRPr="0004134A" w14:paraId="7457CA64" w14:textId="77777777" w:rsidTr="006C4B1E">
        <w:trPr>
          <w:trHeight w:val="216"/>
        </w:trPr>
        <w:tc>
          <w:tcPr>
            <w:tcW w:w="2142" w:type="dxa"/>
            <w:vMerge/>
            <w:tcBorders>
              <w:top w:val="single" w:sz="4" w:space="0" w:color="auto"/>
              <w:left w:val="single" w:sz="4" w:space="0" w:color="auto"/>
              <w:bottom w:val="single" w:sz="4" w:space="0" w:color="000000"/>
              <w:right w:val="single" w:sz="4" w:space="0" w:color="auto"/>
            </w:tcBorders>
            <w:shd w:val="clear" w:color="auto" w:fill="DEEAF6" w:themeFill="accent5" w:themeFillTint="33"/>
            <w:vAlign w:val="center"/>
            <w:hideMark/>
          </w:tcPr>
          <w:p w14:paraId="2F706E7C"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2190" w:type="dxa"/>
            <w:tcBorders>
              <w:top w:val="single" w:sz="4" w:space="0" w:color="auto"/>
              <w:left w:val="nil"/>
              <w:bottom w:val="single" w:sz="4" w:space="0" w:color="auto"/>
              <w:right w:val="nil"/>
            </w:tcBorders>
            <w:shd w:val="clear" w:color="000000" w:fill="000000"/>
            <w:hideMark/>
          </w:tcPr>
          <w:p w14:paraId="074B663D" w14:textId="77777777" w:rsidR="00A3274A" w:rsidRPr="0004134A" w:rsidRDefault="00A3274A" w:rsidP="006C4B1E">
            <w:pPr>
              <w:spacing w:after="0" w:line="240" w:lineRule="auto"/>
              <w:rPr>
                <w:rFonts w:ascii="Times New Roman" w:eastAsia="Times New Roman" w:hAnsi="Times New Roman" w:cs="Times New Roman"/>
                <w:b/>
                <w:bCs/>
                <w:sz w:val="18"/>
                <w:szCs w:val="18"/>
              </w:rPr>
            </w:pPr>
            <w:r w:rsidRPr="0004134A">
              <w:rPr>
                <w:rFonts w:ascii="Times New Roman" w:eastAsia="Times New Roman" w:hAnsi="Times New Roman" w:cs="Times New Roman"/>
                <w:b/>
                <w:bCs/>
                <w:sz w:val="18"/>
                <w:szCs w:val="18"/>
              </w:rPr>
              <w:t> </w:t>
            </w:r>
          </w:p>
        </w:tc>
        <w:tc>
          <w:tcPr>
            <w:tcW w:w="5936" w:type="dxa"/>
            <w:tcBorders>
              <w:top w:val="nil"/>
              <w:left w:val="single" w:sz="4" w:space="0" w:color="auto"/>
              <w:bottom w:val="single" w:sz="4" w:space="0" w:color="auto"/>
              <w:right w:val="nil"/>
            </w:tcBorders>
            <w:shd w:val="clear" w:color="000000" w:fill="000000"/>
            <w:hideMark/>
          </w:tcPr>
          <w:p w14:paraId="729DE7CE"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597" w:type="dxa"/>
            <w:tcBorders>
              <w:top w:val="nil"/>
              <w:left w:val="single" w:sz="4" w:space="0" w:color="auto"/>
              <w:bottom w:val="single" w:sz="4" w:space="0" w:color="auto"/>
              <w:right w:val="single" w:sz="4" w:space="0" w:color="auto"/>
            </w:tcBorders>
            <w:shd w:val="clear" w:color="000000" w:fill="000000"/>
            <w:noWrap/>
            <w:vAlign w:val="bottom"/>
            <w:hideMark/>
          </w:tcPr>
          <w:p w14:paraId="2ED2CC23"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7EE2FC2"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7AB0589"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7002D5D"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CD92566"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17C8103"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06E2A74"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D5F803B"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23C713FA"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27562EAB"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0492F96"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2B362B1"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6DDC192"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r>
      <w:tr w:rsidR="00A3274A" w:rsidRPr="00911768" w14:paraId="5D0C321F" w14:textId="77777777" w:rsidTr="006C4B1E">
        <w:trPr>
          <w:trHeight w:val="996"/>
        </w:trPr>
        <w:tc>
          <w:tcPr>
            <w:tcW w:w="2142" w:type="dxa"/>
            <w:vMerge w:val="restart"/>
            <w:tcBorders>
              <w:top w:val="nil"/>
              <w:left w:val="single" w:sz="4" w:space="0" w:color="auto"/>
              <w:bottom w:val="nil"/>
              <w:right w:val="single" w:sz="4" w:space="0" w:color="auto"/>
            </w:tcBorders>
            <w:shd w:val="clear" w:color="auto" w:fill="DEEAF6" w:themeFill="accent5" w:themeFillTint="33"/>
            <w:hideMark/>
          </w:tcPr>
          <w:p w14:paraId="66FC52B1"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xml:space="preserve">OLT2 </w:t>
            </w:r>
            <w:r w:rsidRPr="0004134A">
              <w:rPr>
                <w:rFonts w:ascii="Times New Roman" w:eastAsia="Times New Roman" w:hAnsi="Times New Roman" w:cs="Times New Roman"/>
                <w:b/>
                <w:bCs/>
                <w:sz w:val="18"/>
                <w:szCs w:val="18"/>
                <w:lang w:val="fr-FR"/>
              </w:rPr>
              <w:br/>
              <w:t xml:space="preserve">Les cadres de dialogue entre les dirigeants politiques et le gouvernement burundais sur les questions sociopolitiques et sur les processus électoraux permettent de mettre en place des </w:t>
            </w:r>
            <w:r w:rsidRPr="0004134A">
              <w:rPr>
                <w:rFonts w:ascii="Times New Roman" w:eastAsia="Times New Roman" w:hAnsi="Times New Roman" w:cs="Times New Roman"/>
                <w:b/>
                <w:bCs/>
                <w:sz w:val="18"/>
                <w:szCs w:val="18"/>
                <w:lang w:val="fr-FR"/>
              </w:rPr>
              <w:lastRenderedPageBreak/>
              <w:t>processus politiques plus inclusifs et des élections pacifiques.</w:t>
            </w:r>
          </w:p>
        </w:tc>
        <w:tc>
          <w:tcPr>
            <w:tcW w:w="2190" w:type="dxa"/>
            <w:vMerge w:val="restart"/>
            <w:tcBorders>
              <w:top w:val="single" w:sz="4" w:space="0" w:color="auto"/>
              <w:left w:val="nil"/>
              <w:bottom w:val="single" w:sz="4" w:space="0" w:color="auto"/>
              <w:right w:val="single" w:sz="4" w:space="0" w:color="auto"/>
            </w:tcBorders>
            <w:shd w:val="clear" w:color="auto" w:fill="auto"/>
            <w:hideMark/>
          </w:tcPr>
          <w:p w14:paraId="78FD2D95"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lastRenderedPageBreak/>
              <w:t>2.1 : Les dialogues entre les acteurs politiques et avec le gouvernement burundais ont lieu régulièrement et produisent des résultats communs.</w:t>
            </w:r>
          </w:p>
        </w:tc>
        <w:tc>
          <w:tcPr>
            <w:tcW w:w="5936" w:type="dxa"/>
            <w:tcBorders>
              <w:top w:val="nil"/>
              <w:left w:val="nil"/>
              <w:bottom w:val="single" w:sz="4" w:space="0" w:color="auto"/>
              <w:right w:val="nil"/>
            </w:tcBorders>
            <w:shd w:val="clear" w:color="auto" w:fill="auto"/>
            <w:hideMark/>
          </w:tcPr>
          <w:p w14:paraId="23CAB2C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A2.1.1. Soutenir les cadres de dialogue multi-acteurs définis dans la résolution Ngozi, ainsi que les cadres de dialogue politique maintenus par le ministère de l'Intérieur et leur extension aux structures décentralisées (provinces et communes), et le FDP : 1jr d'atelier</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323A3E1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F6D97A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A5EE51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5866E1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13ACCB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7CD3AB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7523FF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96CDD7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07A00C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37D334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525FCB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0D5D005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43E2560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04134A" w14:paraId="12E4AE1C" w14:textId="77777777" w:rsidTr="006C4B1E">
        <w:trPr>
          <w:trHeight w:val="1200"/>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37EBC3B3"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tcBorders>
              <w:top w:val="single" w:sz="4" w:space="0" w:color="auto"/>
              <w:left w:val="nil"/>
              <w:bottom w:val="single" w:sz="4" w:space="0" w:color="auto"/>
              <w:right w:val="single" w:sz="4" w:space="0" w:color="auto"/>
            </w:tcBorders>
            <w:vAlign w:val="center"/>
            <w:hideMark/>
          </w:tcPr>
          <w:p w14:paraId="6ABF8E3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5936" w:type="dxa"/>
            <w:tcBorders>
              <w:top w:val="single" w:sz="4" w:space="0" w:color="auto"/>
              <w:left w:val="single" w:sz="4" w:space="0" w:color="auto"/>
              <w:bottom w:val="single" w:sz="4" w:space="0" w:color="auto"/>
              <w:right w:val="single" w:sz="4" w:space="0" w:color="auto"/>
            </w:tcBorders>
            <w:shd w:val="clear" w:color="auto" w:fill="auto"/>
            <w:hideMark/>
          </w:tcPr>
          <w:p w14:paraId="51BF5B79"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lang w:val="fr-FR"/>
              </w:rPr>
              <w:t xml:space="preserve">A2.1.2 Organiser un pré-colloque de mobilisation des principaux acteurs </w:t>
            </w:r>
            <w:r w:rsidRPr="0004134A">
              <w:rPr>
                <w:rFonts w:ascii="Times New Roman" w:eastAsia="Times New Roman" w:hAnsi="Times New Roman" w:cs="Times New Roman"/>
                <w:i/>
                <w:iCs/>
                <w:sz w:val="18"/>
                <w:szCs w:val="18"/>
                <w:lang w:val="fr-FR"/>
              </w:rPr>
              <w:t xml:space="preserve">(leaders des Partis politiques, Femmes et Jeunes des partis politiques, anciens Présidents de la République, OSC, médias </w:t>
            </w:r>
            <w:proofErr w:type="spellStart"/>
            <w:r w:rsidRPr="0004134A">
              <w:rPr>
                <w:rFonts w:ascii="Times New Roman" w:eastAsia="Times New Roman" w:hAnsi="Times New Roman" w:cs="Times New Roman"/>
                <w:i/>
                <w:iCs/>
                <w:sz w:val="18"/>
                <w:szCs w:val="18"/>
                <w:lang w:val="fr-FR"/>
              </w:rPr>
              <w:t>etc</w:t>
            </w:r>
            <w:proofErr w:type="spellEnd"/>
            <w:r w:rsidRPr="0004134A">
              <w:rPr>
                <w:rFonts w:ascii="Times New Roman" w:eastAsia="Times New Roman" w:hAnsi="Times New Roman" w:cs="Times New Roman"/>
                <w:i/>
                <w:iCs/>
                <w:sz w:val="18"/>
                <w:szCs w:val="18"/>
                <w:lang w:val="fr-FR"/>
              </w:rPr>
              <w:t>)</w:t>
            </w:r>
            <w:r w:rsidRPr="0004134A">
              <w:rPr>
                <w:rFonts w:ascii="Times New Roman" w:eastAsia="Times New Roman" w:hAnsi="Times New Roman" w:cs="Times New Roman"/>
                <w:sz w:val="18"/>
                <w:szCs w:val="18"/>
                <w:lang w:val="fr-FR"/>
              </w:rPr>
              <w:t xml:space="preserve"> sur la cohabitation pacifique, la consolidation de la paix pour une démocratie inclusive.  </w:t>
            </w:r>
            <w:r w:rsidRPr="0004134A">
              <w:rPr>
                <w:rFonts w:ascii="Times New Roman" w:eastAsia="Times New Roman" w:hAnsi="Times New Roman" w:cs="Times New Roman"/>
                <w:sz w:val="18"/>
                <w:szCs w:val="18"/>
              </w:rPr>
              <w:t xml:space="preserve">4-5 </w:t>
            </w:r>
            <w:proofErr w:type="spellStart"/>
            <w:r w:rsidRPr="0004134A">
              <w:rPr>
                <w:rFonts w:ascii="Times New Roman" w:eastAsia="Times New Roman" w:hAnsi="Times New Roman" w:cs="Times New Roman"/>
                <w:sz w:val="18"/>
                <w:szCs w:val="18"/>
              </w:rPr>
              <w:t>personnes</w:t>
            </w:r>
            <w:proofErr w:type="spellEnd"/>
            <w:r w:rsidRPr="0004134A">
              <w:rPr>
                <w:rFonts w:ascii="Times New Roman" w:eastAsia="Times New Roman" w:hAnsi="Times New Roman" w:cs="Times New Roman"/>
                <w:sz w:val="18"/>
                <w:szCs w:val="18"/>
              </w:rPr>
              <w:t xml:space="preserve"> par café (total de 5 cafés pour 25 </w:t>
            </w:r>
            <w:proofErr w:type="spellStart"/>
            <w:r w:rsidRPr="0004134A">
              <w:rPr>
                <w:rFonts w:ascii="Times New Roman" w:eastAsia="Times New Roman" w:hAnsi="Times New Roman" w:cs="Times New Roman"/>
                <w:sz w:val="18"/>
                <w:szCs w:val="18"/>
              </w:rPr>
              <w:t>personnes</w:t>
            </w:r>
            <w:proofErr w:type="spellEnd"/>
            <w:r w:rsidRPr="0004134A">
              <w:rPr>
                <w:rFonts w:ascii="Times New Roman" w:eastAsia="Times New Roman" w:hAnsi="Times New Roman" w:cs="Times New Roman"/>
                <w:sz w:val="18"/>
                <w:szCs w:val="18"/>
              </w:rPr>
              <w:t xml:space="preserve"> max)</w:t>
            </w:r>
          </w:p>
        </w:tc>
        <w:tc>
          <w:tcPr>
            <w:tcW w:w="597"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5251117"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A0D7AEA"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23161DD"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B84229E"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730DE3D"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8CAB802"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401E34C"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779816C"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B66E985"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72A0"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F3FC2"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DFB4C"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E7C54" w14:textId="77777777" w:rsidR="00A3274A" w:rsidRPr="0004134A" w:rsidRDefault="00A3274A" w:rsidP="006C4B1E">
            <w:pPr>
              <w:spacing w:after="0" w:line="240" w:lineRule="auto"/>
              <w:rPr>
                <w:rFonts w:ascii="Times New Roman" w:eastAsia="Times New Roman" w:hAnsi="Times New Roman" w:cs="Times New Roman"/>
                <w:sz w:val="18"/>
                <w:szCs w:val="18"/>
              </w:rPr>
            </w:pPr>
            <w:r w:rsidRPr="0004134A">
              <w:rPr>
                <w:rFonts w:ascii="Times New Roman" w:eastAsia="Times New Roman" w:hAnsi="Times New Roman" w:cs="Times New Roman"/>
                <w:sz w:val="18"/>
                <w:szCs w:val="18"/>
              </w:rPr>
              <w:t> </w:t>
            </w:r>
          </w:p>
        </w:tc>
      </w:tr>
      <w:tr w:rsidR="00A3274A" w:rsidRPr="00911768" w14:paraId="689E1E13" w14:textId="77777777" w:rsidTr="006C4B1E">
        <w:trPr>
          <w:trHeight w:val="1440"/>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69F82AEE"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2190" w:type="dxa"/>
            <w:vMerge/>
            <w:tcBorders>
              <w:top w:val="single" w:sz="4" w:space="0" w:color="auto"/>
              <w:left w:val="nil"/>
              <w:bottom w:val="single" w:sz="4" w:space="0" w:color="auto"/>
              <w:right w:val="single" w:sz="4" w:space="0" w:color="auto"/>
            </w:tcBorders>
            <w:vAlign w:val="center"/>
            <w:hideMark/>
          </w:tcPr>
          <w:p w14:paraId="7093E697" w14:textId="77777777" w:rsidR="00A3274A" w:rsidRPr="0004134A" w:rsidRDefault="00A3274A" w:rsidP="006C4B1E">
            <w:pPr>
              <w:spacing w:after="0" w:line="240" w:lineRule="auto"/>
              <w:rPr>
                <w:rFonts w:ascii="Times New Roman" w:eastAsia="Times New Roman" w:hAnsi="Times New Roman" w:cs="Times New Roman"/>
                <w:b/>
                <w:bCs/>
                <w:sz w:val="18"/>
                <w:szCs w:val="18"/>
              </w:rPr>
            </w:pPr>
          </w:p>
        </w:tc>
        <w:tc>
          <w:tcPr>
            <w:tcW w:w="5936" w:type="dxa"/>
            <w:tcBorders>
              <w:top w:val="single" w:sz="4" w:space="0" w:color="auto"/>
              <w:left w:val="nil"/>
              <w:bottom w:val="single" w:sz="4" w:space="0" w:color="auto"/>
              <w:right w:val="single" w:sz="4" w:space="0" w:color="auto"/>
            </w:tcBorders>
            <w:shd w:val="clear" w:color="auto" w:fill="auto"/>
            <w:hideMark/>
          </w:tcPr>
          <w:p w14:paraId="750231E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A2.1.3. En collaboration avec la primature ou </w:t>
            </w:r>
            <w:proofErr w:type="spellStart"/>
            <w:r w:rsidRPr="0004134A">
              <w:rPr>
                <w:rFonts w:ascii="Times New Roman" w:eastAsia="Times New Roman" w:hAnsi="Times New Roman" w:cs="Times New Roman"/>
                <w:sz w:val="18"/>
                <w:szCs w:val="18"/>
                <w:lang w:val="fr-FR"/>
              </w:rPr>
              <w:t>Mininter</w:t>
            </w:r>
            <w:proofErr w:type="spellEnd"/>
            <w:r w:rsidRPr="0004134A">
              <w:rPr>
                <w:rFonts w:ascii="Times New Roman" w:eastAsia="Times New Roman" w:hAnsi="Times New Roman" w:cs="Times New Roman"/>
                <w:sz w:val="18"/>
                <w:szCs w:val="18"/>
                <w:lang w:val="fr-FR"/>
              </w:rPr>
              <w:t xml:space="preserve">, organiser un colloque national annuel des grands leaders d'opinion </w:t>
            </w:r>
            <w:r w:rsidRPr="0004134A">
              <w:rPr>
                <w:rFonts w:ascii="Times New Roman" w:eastAsia="Times New Roman" w:hAnsi="Times New Roman" w:cs="Times New Roman"/>
                <w:i/>
                <w:iCs/>
                <w:sz w:val="18"/>
                <w:szCs w:val="18"/>
                <w:lang w:val="fr-FR"/>
              </w:rPr>
              <w:t xml:space="preserve">(leaders des Partis politiques, Femmes et Jeunes des partis politiques, anciens Présidents de la République, OSC, médias, diaspora </w:t>
            </w:r>
            <w:proofErr w:type="spellStart"/>
            <w:r w:rsidRPr="0004134A">
              <w:rPr>
                <w:rFonts w:ascii="Times New Roman" w:eastAsia="Times New Roman" w:hAnsi="Times New Roman" w:cs="Times New Roman"/>
                <w:i/>
                <w:iCs/>
                <w:sz w:val="18"/>
                <w:szCs w:val="18"/>
                <w:lang w:val="fr-FR"/>
              </w:rPr>
              <w:t>etc</w:t>
            </w:r>
            <w:proofErr w:type="spellEnd"/>
            <w:r w:rsidRPr="0004134A">
              <w:rPr>
                <w:rFonts w:ascii="Times New Roman" w:eastAsia="Times New Roman" w:hAnsi="Times New Roman" w:cs="Times New Roman"/>
                <w:sz w:val="18"/>
                <w:szCs w:val="18"/>
                <w:lang w:val="fr-FR"/>
              </w:rPr>
              <w:t>) sur la cohabitation pacifique, la consolidation de la paix pour une démocratie inclusive (50 personnes)</w:t>
            </w:r>
            <w:r w:rsidRPr="0004134A">
              <w:rPr>
                <w:rFonts w:ascii="Times New Roman" w:eastAsia="Times New Roman" w:hAnsi="Times New Roman" w:cs="Times New Roman"/>
                <w:sz w:val="18"/>
                <w:szCs w:val="18"/>
                <w:lang w:val="fr-FR"/>
              </w:rPr>
              <w:br/>
              <w:t>1 colloque/an</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0415F4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16F12A7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3CF6106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46E154E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4D8409C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5D78C10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7C93302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35AAD12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7526E3F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70036A6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4E166B0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4D13E10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auto" w:fill="auto"/>
            <w:noWrap/>
            <w:vAlign w:val="bottom"/>
            <w:hideMark/>
          </w:tcPr>
          <w:p w14:paraId="0EAB9C7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4FBB7CC9" w14:textId="77777777" w:rsidTr="006C4B1E">
        <w:trPr>
          <w:trHeight w:val="216"/>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14F4BC7C"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single" w:sz="4" w:space="0" w:color="auto"/>
            </w:tcBorders>
            <w:shd w:val="clear" w:color="000000" w:fill="000000"/>
            <w:hideMark/>
          </w:tcPr>
          <w:p w14:paraId="0BEFA503"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5936" w:type="dxa"/>
            <w:tcBorders>
              <w:top w:val="nil"/>
              <w:left w:val="nil"/>
              <w:bottom w:val="nil"/>
              <w:right w:val="nil"/>
            </w:tcBorders>
            <w:shd w:val="clear" w:color="000000" w:fill="000000"/>
            <w:vAlign w:val="bottom"/>
            <w:hideMark/>
          </w:tcPr>
          <w:p w14:paraId="039A0DE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597" w:type="dxa"/>
            <w:tcBorders>
              <w:top w:val="nil"/>
              <w:left w:val="single" w:sz="4" w:space="0" w:color="auto"/>
              <w:bottom w:val="single" w:sz="4" w:space="0" w:color="auto"/>
              <w:right w:val="single" w:sz="4" w:space="0" w:color="auto"/>
            </w:tcBorders>
            <w:shd w:val="clear" w:color="000000" w:fill="000000"/>
            <w:noWrap/>
            <w:vAlign w:val="bottom"/>
            <w:hideMark/>
          </w:tcPr>
          <w:p w14:paraId="4814180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5EABED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9A78F4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C305C7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6588B5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7DE5517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173B83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2F6F22C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595C50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DB4286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37F049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2ADFAA1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18BEAC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1E8A98CA" w14:textId="77777777" w:rsidTr="006C4B1E">
        <w:trPr>
          <w:trHeight w:val="1092"/>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66AEFB57"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D2E04"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xml:space="preserve"> 2.2 : Les acteurs participants disposent des compétences, des connaissances et des idées nécessaires pour participer au dialogue sur les questions politiques et sur le cadre électoral et politique.</w:t>
            </w:r>
          </w:p>
        </w:tc>
        <w:tc>
          <w:tcPr>
            <w:tcW w:w="5936" w:type="dxa"/>
            <w:tcBorders>
              <w:top w:val="single" w:sz="4" w:space="0" w:color="auto"/>
              <w:left w:val="nil"/>
              <w:bottom w:val="single" w:sz="4" w:space="0" w:color="auto"/>
              <w:right w:val="single" w:sz="4" w:space="0" w:color="auto"/>
            </w:tcBorders>
            <w:shd w:val="clear" w:color="auto" w:fill="auto"/>
            <w:hideMark/>
          </w:tcPr>
          <w:p w14:paraId="630B417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A2.2.1a Soutenir techniquement les partis politiques par la formation au dialogue et la formulation des recommandations à proposer au Président de la République et au Ministre de l'Intérieur en vue de contribuer à l'amélioration de la vie socio-politique et économique de la communauté burundaise.</w:t>
            </w:r>
          </w:p>
        </w:tc>
        <w:tc>
          <w:tcPr>
            <w:tcW w:w="597" w:type="dxa"/>
            <w:tcBorders>
              <w:top w:val="nil"/>
              <w:left w:val="nil"/>
              <w:bottom w:val="single" w:sz="4" w:space="0" w:color="auto"/>
              <w:right w:val="single" w:sz="4" w:space="0" w:color="auto"/>
            </w:tcBorders>
            <w:shd w:val="clear" w:color="auto" w:fill="auto"/>
            <w:noWrap/>
            <w:vAlign w:val="bottom"/>
            <w:hideMark/>
          </w:tcPr>
          <w:p w14:paraId="41DC6A2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FE0F27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3C1D38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DDDEE1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604AE3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6C9C727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8DFE3B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502FF55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AE4E3B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A01227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389455DF"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DAF24A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31DEFF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1F0B199C" w14:textId="77777777" w:rsidTr="006C4B1E">
        <w:trPr>
          <w:trHeight w:val="960"/>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4614459D"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12BF75C6"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5936" w:type="dxa"/>
            <w:tcBorders>
              <w:top w:val="nil"/>
              <w:left w:val="nil"/>
              <w:bottom w:val="single" w:sz="4" w:space="0" w:color="auto"/>
              <w:right w:val="single" w:sz="4" w:space="0" w:color="auto"/>
            </w:tcBorders>
            <w:shd w:val="clear" w:color="auto" w:fill="auto"/>
            <w:hideMark/>
          </w:tcPr>
          <w:p w14:paraId="5615E95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 A2.2.1b Mettre en place d'un système de suivi participatif, évaluation et apprentissage de la mise en œuvre des recommandations proposées par les partis politiques et les autorités au niveau local et national, y compris à travers la méthodologie des entretiens et des tables rondes de l'ICB.</w:t>
            </w:r>
          </w:p>
        </w:tc>
        <w:tc>
          <w:tcPr>
            <w:tcW w:w="597" w:type="dxa"/>
            <w:tcBorders>
              <w:top w:val="nil"/>
              <w:left w:val="nil"/>
              <w:bottom w:val="single" w:sz="4" w:space="0" w:color="auto"/>
              <w:right w:val="single" w:sz="4" w:space="0" w:color="auto"/>
            </w:tcBorders>
            <w:shd w:val="clear" w:color="auto" w:fill="auto"/>
            <w:noWrap/>
            <w:vAlign w:val="bottom"/>
            <w:hideMark/>
          </w:tcPr>
          <w:p w14:paraId="21A4D81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C01BF8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A1D25C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B3E788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6A22F4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6FD848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6D1E39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7D14182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6F062C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4F09F31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4BC0675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F4868B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7E6099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3CF2FC48" w14:textId="77777777" w:rsidTr="006C4B1E">
        <w:trPr>
          <w:trHeight w:val="228"/>
        </w:trPr>
        <w:tc>
          <w:tcPr>
            <w:tcW w:w="2142" w:type="dxa"/>
            <w:vMerge/>
            <w:tcBorders>
              <w:top w:val="nil"/>
              <w:left w:val="single" w:sz="4" w:space="0" w:color="auto"/>
              <w:bottom w:val="nil"/>
              <w:right w:val="single" w:sz="4" w:space="0" w:color="auto"/>
            </w:tcBorders>
            <w:shd w:val="clear" w:color="auto" w:fill="DEEAF6" w:themeFill="accent5" w:themeFillTint="33"/>
            <w:vAlign w:val="center"/>
            <w:hideMark/>
          </w:tcPr>
          <w:p w14:paraId="07E24626"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single" w:sz="4" w:space="0" w:color="auto"/>
            </w:tcBorders>
            <w:shd w:val="clear" w:color="000000" w:fill="000000"/>
            <w:hideMark/>
          </w:tcPr>
          <w:p w14:paraId="0EA9D66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5936" w:type="dxa"/>
            <w:tcBorders>
              <w:top w:val="nil"/>
              <w:left w:val="nil"/>
              <w:bottom w:val="nil"/>
              <w:right w:val="nil"/>
            </w:tcBorders>
            <w:shd w:val="clear" w:color="000000" w:fill="000000"/>
            <w:vAlign w:val="bottom"/>
            <w:hideMark/>
          </w:tcPr>
          <w:p w14:paraId="2493FD6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597" w:type="dxa"/>
            <w:tcBorders>
              <w:top w:val="nil"/>
              <w:left w:val="single" w:sz="4" w:space="0" w:color="auto"/>
              <w:bottom w:val="single" w:sz="4" w:space="0" w:color="auto"/>
              <w:right w:val="single" w:sz="4" w:space="0" w:color="auto"/>
            </w:tcBorders>
            <w:shd w:val="clear" w:color="000000" w:fill="000000"/>
            <w:noWrap/>
            <w:vAlign w:val="bottom"/>
            <w:hideMark/>
          </w:tcPr>
          <w:p w14:paraId="5C6CF7D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B6BC48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05F19F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B7468B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BE2B0C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72A4192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C65F82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EEE14A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E9A7F9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81D9D8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331C79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37C2F3D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D11BFA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17324290" w14:textId="77777777" w:rsidTr="006C4B1E">
        <w:trPr>
          <w:trHeight w:val="1200"/>
        </w:trPr>
        <w:tc>
          <w:tcPr>
            <w:tcW w:w="2142" w:type="dxa"/>
            <w:vMerge w:val="restart"/>
            <w:tcBorders>
              <w:top w:val="nil"/>
              <w:left w:val="single" w:sz="4" w:space="0" w:color="auto"/>
              <w:bottom w:val="single" w:sz="4" w:space="0" w:color="000000"/>
              <w:right w:val="single" w:sz="4" w:space="0" w:color="auto"/>
            </w:tcBorders>
            <w:shd w:val="clear" w:color="auto" w:fill="DEEAF6" w:themeFill="accent5" w:themeFillTint="33"/>
            <w:noWrap/>
            <w:hideMark/>
          </w:tcPr>
          <w:p w14:paraId="50C524FB"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2190" w:type="dxa"/>
            <w:tcBorders>
              <w:top w:val="single" w:sz="4" w:space="0" w:color="auto"/>
              <w:left w:val="nil"/>
              <w:bottom w:val="single" w:sz="4" w:space="0" w:color="auto"/>
              <w:right w:val="single" w:sz="4" w:space="0" w:color="auto"/>
            </w:tcBorders>
            <w:shd w:val="clear" w:color="auto" w:fill="auto"/>
            <w:hideMark/>
          </w:tcPr>
          <w:p w14:paraId="36288E52"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3.2 Le dialogue intergénérationnel au sein des partis politiques se déroule et il est soutenu par l'autorité</w:t>
            </w:r>
          </w:p>
        </w:tc>
        <w:tc>
          <w:tcPr>
            <w:tcW w:w="5936" w:type="dxa"/>
            <w:tcBorders>
              <w:top w:val="single" w:sz="4" w:space="0" w:color="auto"/>
              <w:left w:val="nil"/>
              <w:bottom w:val="single" w:sz="4" w:space="0" w:color="auto"/>
              <w:right w:val="nil"/>
            </w:tcBorders>
            <w:shd w:val="clear" w:color="auto" w:fill="auto"/>
            <w:hideMark/>
          </w:tcPr>
          <w:p w14:paraId="4CE8B12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A3.2.3 Activités de dialogue intergénérationnel proprement dit entre les jeunes dirigeants des partis politiques et les dirigeants des partis nationaux et provinciaux. Ces dialogues bénéficieront de la facilitation d'experts au cours desquels les participants conviendront ensemble des priorités axées sur la jeunesse dans leurs programmes politiques.</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14:paraId="15E155C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00A46BA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3EC23CD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3CA4917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06C8E1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2F93F3B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59FA0B9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689ADA8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7BF060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FFC000"/>
            <w:noWrap/>
            <w:vAlign w:val="bottom"/>
            <w:hideMark/>
          </w:tcPr>
          <w:p w14:paraId="1656F3D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20D63D6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55FE634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auto" w:fill="auto"/>
            <w:noWrap/>
            <w:vAlign w:val="bottom"/>
            <w:hideMark/>
          </w:tcPr>
          <w:p w14:paraId="1B333984"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15EDBF51" w14:textId="77777777" w:rsidTr="006C4B1E">
        <w:trPr>
          <w:trHeight w:val="216"/>
        </w:trPr>
        <w:tc>
          <w:tcPr>
            <w:tcW w:w="2142" w:type="dxa"/>
            <w:vMerge/>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E305E55"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p>
        </w:tc>
        <w:tc>
          <w:tcPr>
            <w:tcW w:w="2190" w:type="dxa"/>
            <w:tcBorders>
              <w:top w:val="single" w:sz="4" w:space="0" w:color="auto"/>
              <w:left w:val="nil"/>
              <w:bottom w:val="single" w:sz="4" w:space="0" w:color="auto"/>
              <w:right w:val="nil"/>
            </w:tcBorders>
            <w:shd w:val="clear" w:color="000000" w:fill="000000"/>
            <w:hideMark/>
          </w:tcPr>
          <w:p w14:paraId="209FE2C9"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 </w:t>
            </w:r>
          </w:p>
        </w:tc>
        <w:tc>
          <w:tcPr>
            <w:tcW w:w="5936" w:type="dxa"/>
            <w:tcBorders>
              <w:top w:val="nil"/>
              <w:left w:val="single" w:sz="4" w:space="0" w:color="auto"/>
              <w:bottom w:val="single" w:sz="4" w:space="0" w:color="auto"/>
              <w:right w:val="nil"/>
            </w:tcBorders>
            <w:shd w:val="clear" w:color="000000" w:fill="000000"/>
            <w:hideMark/>
          </w:tcPr>
          <w:p w14:paraId="30CBEEE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597" w:type="dxa"/>
            <w:tcBorders>
              <w:top w:val="nil"/>
              <w:left w:val="single" w:sz="4" w:space="0" w:color="auto"/>
              <w:bottom w:val="single" w:sz="4" w:space="0" w:color="auto"/>
              <w:right w:val="single" w:sz="4" w:space="0" w:color="auto"/>
            </w:tcBorders>
            <w:shd w:val="clear" w:color="000000" w:fill="000000"/>
            <w:noWrap/>
            <w:vAlign w:val="bottom"/>
            <w:hideMark/>
          </w:tcPr>
          <w:p w14:paraId="1A9891AC"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A193C1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523189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E72673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5ED8795"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4775598"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411B625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529961D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14AC5E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C96F82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16B9A8D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6B8FD377"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nil"/>
              <w:left w:val="nil"/>
              <w:bottom w:val="single" w:sz="4" w:space="0" w:color="auto"/>
              <w:right w:val="single" w:sz="4" w:space="0" w:color="auto"/>
            </w:tcBorders>
            <w:shd w:val="clear" w:color="000000" w:fill="000000"/>
            <w:noWrap/>
            <w:vAlign w:val="bottom"/>
            <w:hideMark/>
          </w:tcPr>
          <w:p w14:paraId="07B06A61"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r w:rsidR="00A3274A" w:rsidRPr="00911768" w14:paraId="77116A9F" w14:textId="77777777" w:rsidTr="006C4B1E">
        <w:trPr>
          <w:trHeight w:val="2400"/>
        </w:trPr>
        <w:tc>
          <w:tcPr>
            <w:tcW w:w="214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D1431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OLT 4</w:t>
            </w:r>
            <w:r w:rsidRPr="0004134A">
              <w:rPr>
                <w:rFonts w:ascii="Times New Roman" w:eastAsia="Times New Roman" w:hAnsi="Times New Roman" w:cs="Times New Roman"/>
                <w:b/>
                <w:bCs/>
                <w:sz w:val="18"/>
                <w:szCs w:val="18"/>
                <w:lang w:val="fr-FR"/>
              </w:rPr>
              <w:br/>
              <w:t>NIMD et son réseau local travaillent sur la base d'une analyse continue et d'une compréhension fondée sur des preuves du contexte, de la dynamique et des intérêts politiques en développement.</w:t>
            </w:r>
          </w:p>
        </w:tc>
        <w:tc>
          <w:tcPr>
            <w:tcW w:w="2190" w:type="dxa"/>
            <w:tcBorders>
              <w:top w:val="single" w:sz="4" w:space="0" w:color="auto"/>
              <w:left w:val="nil"/>
              <w:bottom w:val="single" w:sz="4" w:space="0" w:color="auto"/>
              <w:right w:val="single" w:sz="4" w:space="0" w:color="auto"/>
            </w:tcBorders>
            <w:shd w:val="clear" w:color="auto" w:fill="auto"/>
            <w:hideMark/>
          </w:tcPr>
          <w:p w14:paraId="6308B4AE" w14:textId="77777777" w:rsidR="00A3274A" w:rsidRPr="0004134A" w:rsidRDefault="00A3274A" w:rsidP="006C4B1E">
            <w:pPr>
              <w:spacing w:after="0" w:line="240" w:lineRule="auto"/>
              <w:rPr>
                <w:rFonts w:ascii="Times New Roman" w:eastAsia="Times New Roman" w:hAnsi="Times New Roman" w:cs="Times New Roman"/>
                <w:b/>
                <w:bCs/>
                <w:sz w:val="18"/>
                <w:szCs w:val="18"/>
                <w:lang w:val="fr-FR"/>
              </w:rPr>
            </w:pPr>
            <w:r w:rsidRPr="0004134A">
              <w:rPr>
                <w:rFonts w:ascii="Times New Roman" w:eastAsia="Times New Roman" w:hAnsi="Times New Roman" w:cs="Times New Roman"/>
                <w:b/>
                <w:bCs/>
                <w:sz w:val="18"/>
                <w:szCs w:val="18"/>
                <w:lang w:val="fr-FR"/>
              </w:rPr>
              <w:t>4.3 Capacité de mise en œuvre des partenaires locaux de mise en œuvre assurée</w:t>
            </w:r>
          </w:p>
        </w:tc>
        <w:tc>
          <w:tcPr>
            <w:tcW w:w="5936" w:type="dxa"/>
            <w:tcBorders>
              <w:top w:val="single" w:sz="4" w:space="0" w:color="auto"/>
              <w:left w:val="nil"/>
              <w:bottom w:val="single" w:sz="4" w:space="0" w:color="auto"/>
              <w:right w:val="single" w:sz="4" w:space="0" w:color="auto"/>
            </w:tcBorders>
            <w:shd w:val="clear" w:color="auto" w:fill="auto"/>
            <w:hideMark/>
          </w:tcPr>
          <w:p w14:paraId="60086EC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xml:space="preserve">4.3.1 Soutien technique aux capacités des partenaires </w:t>
            </w:r>
          </w:p>
        </w:tc>
        <w:tc>
          <w:tcPr>
            <w:tcW w:w="597" w:type="dxa"/>
            <w:tcBorders>
              <w:top w:val="single" w:sz="4" w:space="0" w:color="auto"/>
              <w:left w:val="nil"/>
              <w:bottom w:val="single" w:sz="4" w:space="0" w:color="auto"/>
              <w:right w:val="single" w:sz="4" w:space="0" w:color="auto"/>
            </w:tcBorders>
            <w:shd w:val="clear" w:color="000000" w:fill="FFC000"/>
            <w:noWrap/>
            <w:vAlign w:val="bottom"/>
            <w:hideMark/>
          </w:tcPr>
          <w:p w14:paraId="3E8F5E0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1D17FFAD"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3CB8595A"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0748B2C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0B004BE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256C7FD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4E7100F2"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603E1356"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4878B8C3"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5A54E79B"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06460C30"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484E4FF9"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c>
          <w:tcPr>
            <w:tcW w:w="306" w:type="dxa"/>
            <w:tcBorders>
              <w:top w:val="single" w:sz="4" w:space="0" w:color="auto"/>
              <w:left w:val="nil"/>
              <w:bottom w:val="single" w:sz="4" w:space="0" w:color="auto"/>
              <w:right w:val="single" w:sz="4" w:space="0" w:color="auto"/>
            </w:tcBorders>
            <w:shd w:val="clear" w:color="000000" w:fill="FFC000"/>
            <w:noWrap/>
            <w:vAlign w:val="bottom"/>
            <w:hideMark/>
          </w:tcPr>
          <w:p w14:paraId="7F5EE8AE" w14:textId="77777777" w:rsidR="00A3274A" w:rsidRPr="0004134A" w:rsidRDefault="00A3274A" w:rsidP="006C4B1E">
            <w:pPr>
              <w:spacing w:after="0" w:line="240" w:lineRule="auto"/>
              <w:rPr>
                <w:rFonts w:ascii="Times New Roman" w:eastAsia="Times New Roman" w:hAnsi="Times New Roman" w:cs="Times New Roman"/>
                <w:sz w:val="18"/>
                <w:szCs w:val="18"/>
                <w:lang w:val="fr-FR"/>
              </w:rPr>
            </w:pPr>
            <w:r w:rsidRPr="0004134A">
              <w:rPr>
                <w:rFonts w:ascii="Times New Roman" w:eastAsia="Times New Roman" w:hAnsi="Times New Roman" w:cs="Times New Roman"/>
                <w:sz w:val="18"/>
                <w:szCs w:val="18"/>
                <w:lang w:val="fr-FR"/>
              </w:rPr>
              <w:t> </w:t>
            </w:r>
          </w:p>
        </w:tc>
      </w:tr>
    </w:tbl>
    <w:p w14:paraId="274C0956" w14:textId="77777777" w:rsidR="00A3274A" w:rsidRDefault="00A3274A" w:rsidP="00EF5BD0">
      <w:pPr>
        <w:pStyle w:val="ListParagraph"/>
        <w:spacing w:after="0"/>
        <w:jc w:val="both"/>
        <w:rPr>
          <w:rFonts w:ascii="Times New Roman" w:hAnsi="Times New Roman" w:cs="Times New Roman"/>
          <w:b/>
          <w:sz w:val="24"/>
          <w:szCs w:val="24"/>
          <w:lang w:val="fr-FR"/>
        </w:rPr>
        <w:sectPr w:rsidR="00A3274A" w:rsidSect="00436B16">
          <w:pgSz w:w="15840" w:h="12240" w:orient="landscape"/>
          <w:pgMar w:top="720" w:right="720" w:bottom="720" w:left="720" w:header="720" w:footer="720" w:gutter="0"/>
          <w:cols w:space="720"/>
          <w:docGrid w:linePitch="360"/>
        </w:sectPr>
      </w:pPr>
    </w:p>
    <w:p w14:paraId="65B10362" w14:textId="77777777" w:rsidR="00EF5BD0" w:rsidRDefault="00EF5BD0" w:rsidP="00EF5BD0">
      <w:pPr>
        <w:pStyle w:val="ListParagraph"/>
        <w:spacing w:after="0"/>
        <w:jc w:val="both"/>
        <w:rPr>
          <w:rFonts w:ascii="Times New Roman" w:hAnsi="Times New Roman" w:cs="Times New Roman"/>
          <w:b/>
          <w:sz w:val="24"/>
          <w:szCs w:val="24"/>
          <w:lang w:val="fr-FR"/>
        </w:rPr>
      </w:pPr>
    </w:p>
    <w:p w14:paraId="2061A4DF" w14:textId="02A3EC68" w:rsidR="00B30D2E" w:rsidRPr="0004134A" w:rsidRDefault="00B30D2E" w:rsidP="00D53074">
      <w:pPr>
        <w:pStyle w:val="ListParagraph"/>
        <w:numPr>
          <w:ilvl w:val="0"/>
          <w:numId w:val="3"/>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Activités réalisées et résultats atteints </w:t>
      </w:r>
      <w:r w:rsidR="0097691A" w:rsidRPr="0004134A">
        <w:rPr>
          <w:rFonts w:ascii="Times New Roman" w:hAnsi="Times New Roman" w:cs="Times New Roman"/>
          <w:bCs/>
          <w:sz w:val="24"/>
          <w:szCs w:val="24"/>
          <w:lang w:val="fr-FR"/>
        </w:rPr>
        <w:t>(</w:t>
      </w:r>
      <w:r w:rsidR="0097691A" w:rsidRPr="0004134A">
        <w:rPr>
          <w:rFonts w:ascii="Times New Roman" w:hAnsi="Times New Roman" w:cs="Times New Roman"/>
          <w:bCs/>
          <w:i/>
          <w:iCs/>
          <w:sz w:val="24"/>
          <w:szCs w:val="24"/>
          <w:lang w:val="fr-FR"/>
        </w:rPr>
        <w:t>décrire les activités/sous-activités qui ont été réalisées, la méthodologie de mise en œuvre, les parties prenantes, les participants ainsi que les résultats que ces activités ont permis d’atteindre) </w:t>
      </w:r>
      <w:r w:rsidR="0097691A" w:rsidRPr="0004134A">
        <w:rPr>
          <w:rFonts w:ascii="Times New Roman" w:hAnsi="Times New Roman" w:cs="Times New Roman"/>
          <w:bCs/>
          <w:sz w:val="24"/>
          <w:szCs w:val="24"/>
          <w:lang w:val="fr-FR"/>
        </w:rPr>
        <w:t>: Réalisations en termes quantitatifs et qualitatifs + indicateurs. Expliquer les déviations par rapport aux attentes et les explique, s’il y a lieu</w:t>
      </w:r>
    </w:p>
    <w:p w14:paraId="2915E699" w14:textId="77777777" w:rsidR="008F7891" w:rsidRPr="0004134A" w:rsidRDefault="008F7891" w:rsidP="008F7891">
      <w:pPr>
        <w:pStyle w:val="ListParagraph"/>
        <w:spacing w:after="0" w:line="240" w:lineRule="auto"/>
        <w:rPr>
          <w:rFonts w:ascii="Times New Roman" w:hAnsi="Times New Roman" w:cs="Times New Roman"/>
          <w:b/>
          <w:sz w:val="24"/>
          <w:szCs w:val="24"/>
          <w:lang w:val="fr-FR"/>
        </w:rPr>
      </w:pPr>
    </w:p>
    <w:p w14:paraId="7E46BD3D" w14:textId="125384AF" w:rsidR="008F7891" w:rsidRPr="0004134A" w:rsidRDefault="008F7891" w:rsidP="008F7891">
      <w:pPr>
        <w:pStyle w:val="ListParagraph"/>
        <w:spacing w:after="0" w:line="240" w:lineRule="auto"/>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3.1. Tableau synoptique des réalisations </w:t>
      </w:r>
    </w:p>
    <w:tbl>
      <w:tblPr>
        <w:tblW w:w="15168" w:type="dxa"/>
        <w:tblInd w:w="-289" w:type="dxa"/>
        <w:tblLook w:val="04A0" w:firstRow="1" w:lastRow="0" w:firstColumn="1" w:lastColumn="0" w:noHBand="0" w:noVBand="1"/>
      </w:tblPr>
      <w:tblGrid>
        <w:gridCol w:w="3545"/>
        <w:gridCol w:w="2551"/>
        <w:gridCol w:w="3827"/>
        <w:gridCol w:w="2127"/>
        <w:gridCol w:w="3118"/>
      </w:tblGrid>
      <w:tr w:rsidR="00660F55" w:rsidRPr="0004134A" w14:paraId="39F3FF52" w14:textId="77777777" w:rsidTr="00022FA2">
        <w:trPr>
          <w:trHeight w:val="372"/>
        </w:trPr>
        <w:tc>
          <w:tcPr>
            <w:tcW w:w="3545" w:type="dxa"/>
            <w:tcBorders>
              <w:top w:val="single" w:sz="4" w:space="0" w:color="auto"/>
              <w:left w:val="single" w:sz="4" w:space="0" w:color="auto"/>
              <w:bottom w:val="single" w:sz="4" w:space="0" w:color="auto"/>
              <w:right w:val="single" w:sz="4" w:space="0" w:color="auto"/>
            </w:tcBorders>
            <w:shd w:val="clear" w:color="000000" w:fill="FFD966"/>
            <w:hideMark/>
          </w:tcPr>
          <w:p w14:paraId="777EBAFF" w14:textId="77777777" w:rsidR="00CC29CC" w:rsidRPr="0004134A" w:rsidRDefault="00CC29CC" w:rsidP="00660F55">
            <w:pPr>
              <w:spacing w:after="0" w:line="240" w:lineRule="auto"/>
              <w:rPr>
                <w:rFonts w:ascii="Times New Roman" w:eastAsia="Times New Roman" w:hAnsi="Times New Roman" w:cs="Times New Roman"/>
                <w:b/>
                <w:bCs/>
                <w:color w:val="000000"/>
              </w:rPr>
            </w:pPr>
            <w:r w:rsidRPr="0004134A">
              <w:rPr>
                <w:rFonts w:ascii="Times New Roman" w:eastAsia="Times New Roman" w:hAnsi="Times New Roman" w:cs="Times New Roman"/>
                <w:b/>
                <w:bCs/>
                <w:color w:val="000000"/>
                <w:lang w:val="fr-FR"/>
              </w:rPr>
              <w:t>Activités réalisées</w:t>
            </w:r>
          </w:p>
        </w:tc>
        <w:tc>
          <w:tcPr>
            <w:tcW w:w="2551" w:type="dxa"/>
            <w:tcBorders>
              <w:top w:val="single" w:sz="4" w:space="0" w:color="auto"/>
              <w:left w:val="nil"/>
              <w:bottom w:val="single" w:sz="4" w:space="0" w:color="auto"/>
              <w:right w:val="single" w:sz="4" w:space="0" w:color="auto"/>
            </w:tcBorders>
            <w:shd w:val="clear" w:color="000000" w:fill="FFD966"/>
            <w:hideMark/>
          </w:tcPr>
          <w:p w14:paraId="53D8B9A1" w14:textId="77777777" w:rsidR="00CC29CC" w:rsidRPr="0004134A" w:rsidRDefault="00CC29CC" w:rsidP="00CC1B00">
            <w:pPr>
              <w:spacing w:after="0" w:line="240" w:lineRule="auto"/>
              <w:rPr>
                <w:rFonts w:ascii="Times New Roman" w:eastAsia="Times New Roman" w:hAnsi="Times New Roman" w:cs="Times New Roman"/>
                <w:b/>
                <w:bCs/>
                <w:color w:val="000000"/>
              </w:rPr>
            </w:pPr>
            <w:r w:rsidRPr="0004134A">
              <w:rPr>
                <w:rFonts w:ascii="Times New Roman" w:eastAsia="Times New Roman" w:hAnsi="Times New Roman" w:cs="Times New Roman"/>
                <w:b/>
                <w:bCs/>
                <w:color w:val="000000"/>
              </w:rPr>
              <w:t>Sous-</w:t>
            </w:r>
            <w:proofErr w:type="spellStart"/>
            <w:r w:rsidRPr="0004134A">
              <w:rPr>
                <w:rFonts w:ascii="Times New Roman" w:eastAsia="Times New Roman" w:hAnsi="Times New Roman" w:cs="Times New Roman"/>
                <w:b/>
                <w:bCs/>
                <w:color w:val="000000"/>
              </w:rPr>
              <w:t>activités</w:t>
            </w:r>
            <w:proofErr w:type="spellEnd"/>
            <w:r w:rsidRPr="0004134A">
              <w:rPr>
                <w:rFonts w:ascii="Times New Roman" w:eastAsia="Times New Roman" w:hAnsi="Times New Roman" w:cs="Times New Roman"/>
                <w:b/>
                <w:bCs/>
                <w:color w:val="000000"/>
              </w:rPr>
              <w:t xml:space="preserve"> </w:t>
            </w:r>
          </w:p>
        </w:tc>
        <w:tc>
          <w:tcPr>
            <w:tcW w:w="3827" w:type="dxa"/>
            <w:tcBorders>
              <w:top w:val="single" w:sz="4" w:space="0" w:color="auto"/>
              <w:left w:val="nil"/>
              <w:bottom w:val="single" w:sz="4" w:space="0" w:color="auto"/>
              <w:right w:val="single" w:sz="4" w:space="0" w:color="auto"/>
            </w:tcBorders>
            <w:shd w:val="clear" w:color="000000" w:fill="FFD966"/>
            <w:hideMark/>
          </w:tcPr>
          <w:p w14:paraId="3C562C08" w14:textId="77777777" w:rsidR="00CC29CC" w:rsidRPr="0004134A" w:rsidRDefault="00CC29CC" w:rsidP="00602A9A">
            <w:pPr>
              <w:spacing w:after="0" w:line="240" w:lineRule="auto"/>
              <w:rPr>
                <w:rFonts w:ascii="Times New Roman" w:eastAsia="Times New Roman" w:hAnsi="Times New Roman" w:cs="Times New Roman"/>
                <w:b/>
                <w:bCs/>
                <w:color w:val="000000"/>
              </w:rPr>
            </w:pPr>
            <w:proofErr w:type="spellStart"/>
            <w:r w:rsidRPr="0004134A">
              <w:rPr>
                <w:rFonts w:ascii="Times New Roman" w:eastAsia="Times New Roman" w:hAnsi="Times New Roman" w:cs="Times New Roman"/>
                <w:b/>
                <w:bCs/>
                <w:color w:val="000000"/>
              </w:rPr>
              <w:t>Résultat</w:t>
            </w:r>
            <w:proofErr w:type="spellEnd"/>
          </w:p>
        </w:tc>
        <w:tc>
          <w:tcPr>
            <w:tcW w:w="2127" w:type="dxa"/>
            <w:tcBorders>
              <w:top w:val="single" w:sz="4" w:space="0" w:color="auto"/>
              <w:left w:val="nil"/>
              <w:bottom w:val="single" w:sz="4" w:space="0" w:color="auto"/>
              <w:right w:val="single" w:sz="4" w:space="0" w:color="auto"/>
            </w:tcBorders>
            <w:shd w:val="clear" w:color="000000" w:fill="FFD966"/>
            <w:noWrap/>
            <w:hideMark/>
          </w:tcPr>
          <w:p w14:paraId="50E400E1" w14:textId="77777777" w:rsidR="00CC29CC" w:rsidRPr="0004134A" w:rsidRDefault="00CC29CC" w:rsidP="00602A9A">
            <w:pPr>
              <w:spacing w:after="0" w:line="240" w:lineRule="auto"/>
              <w:rPr>
                <w:rFonts w:ascii="Times New Roman" w:eastAsia="Times New Roman" w:hAnsi="Times New Roman" w:cs="Times New Roman"/>
                <w:b/>
                <w:bCs/>
                <w:color w:val="000000"/>
              </w:rPr>
            </w:pPr>
            <w:proofErr w:type="spellStart"/>
            <w:r w:rsidRPr="0004134A">
              <w:rPr>
                <w:rFonts w:ascii="Times New Roman" w:eastAsia="Times New Roman" w:hAnsi="Times New Roman" w:cs="Times New Roman"/>
                <w:b/>
                <w:bCs/>
                <w:color w:val="000000"/>
              </w:rPr>
              <w:t>Indicateur</w:t>
            </w:r>
            <w:proofErr w:type="spellEnd"/>
          </w:p>
        </w:tc>
        <w:tc>
          <w:tcPr>
            <w:tcW w:w="3118" w:type="dxa"/>
            <w:tcBorders>
              <w:top w:val="single" w:sz="4" w:space="0" w:color="auto"/>
              <w:left w:val="nil"/>
              <w:bottom w:val="single" w:sz="4" w:space="0" w:color="auto"/>
              <w:right w:val="single" w:sz="4" w:space="0" w:color="auto"/>
            </w:tcBorders>
            <w:shd w:val="clear" w:color="000000" w:fill="FFD966"/>
            <w:hideMark/>
          </w:tcPr>
          <w:p w14:paraId="560286A3" w14:textId="77777777" w:rsidR="00CC29CC" w:rsidRPr="0004134A" w:rsidRDefault="00CC29CC" w:rsidP="00602A9A">
            <w:pPr>
              <w:spacing w:after="0" w:line="240" w:lineRule="auto"/>
              <w:rPr>
                <w:rFonts w:ascii="Times New Roman" w:eastAsia="Times New Roman" w:hAnsi="Times New Roman" w:cs="Times New Roman"/>
                <w:b/>
                <w:bCs/>
                <w:color w:val="000000"/>
              </w:rPr>
            </w:pPr>
            <w:r w:rsidRPr="0004134A">
              <w:rPr>
                <w:rFonts w:ascii="Times New Roman" w:eastAsia="Times New Roman" w:hAnsi="Times New Roman" w:cs="Times New Roman"/>
                <w:b/>
                <w:bCs/>
                <w:color w:val="000000"/>
              </w:rPr>
              <w:t>Observation</w:t>
            </w:r>
          </w:p>
        </w:tc>
      </w:tr>
      <w:tr w:rsidR="00F753B3" w:rsidRPr="00911768" w14:paraId="6AEF1735" w14:textId="77777777" w:rsidTr="00022FA2">
        <w:trPr>
          <w:trHeight w:val="372"/>
        </w:trPr>
        <w:tc>
          <w:tcPr>
            <w:tcW w:w="3545" w:type="dxa"/>
            <w:tcBorders>
              <w:top w:val="single" w:sz="4" w:space="0" w:color="auto"/>
              <w:left w:val="single" w:sz="4" w:space="0" w:color="auto"/>
              <w:bottom w:val="single" w:sz="4" w:space="0" w:color="auto"/>
              <w:right w:val="single" w:sz="4" w:space="0" w:color="auto"/>
            </w:tcBorders>
            <w:shd w:val="clear" w:color="auto" w:fill="auto"/>
          </w:tcPr>
          <w:p w14:paraId="072A65F0" w14:textId="689E0E0F" w:rsidR="00F753B3" w:rsidRPr="0004134A" w:rsidRDefault="00F753B3" w:rsidP="00F753B3">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A1.1.1 Identification et consultations initiales</w:t>
            </w:r>
          </w:p>
        </w:tc>
        <w:tc>
          <w:tcPr>
            <w:tcW w:w="2551" w:type="dxa"/>
            <w:tcBorders>
              <w:top w:val="single" w:sz="4" w:space="0" w:color="auto"/>
              <w:left w:val="nil"/>
              <w:bottom w:val="single" w:sz="4" w:space="0" w:color="auto"/>
              <w:right w:val="single" w:sz="4" w:space="0" w:color="auto"/>
            </w:tcBorders>
            <w:shd w:val="clear" w:color="auto" w:fill="auto"/>
          </w:tcPr>
          <w:p w14:paraId="00956495" w14:textId="20408AD8" w:rsidR="00F753B3" w:rsidRPr="0004134A" w:rsidRDefault="00F753B3" w:rsidP="00F753B3">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Des rencontres institutionnelles et politiques stratégiques ont été réalisées</w:t>
            </w:r>
          </w:p>
        </w:tc>
        <w:tc>
          <w:tcPr>
            <w:tcW w:w="3827" w:type="dxa"/>
            <w:tcBorders>
              <w:top w:val="single" w:sz="4" w:space="0" w:color="auto"/>
              <w:left w:val="nil"/>
              <w:bottom w:val="single" w:sz="4" w:space="0" w:color="auto"/>
              <w:right w:val="single" w:sz="4" w:space="0" w:color="auto"/>
            </w:tcBorders>
            <w:shd w:val="clear" w:color="auto" w:fill="auto"/>
          </w:tcPr>
          <w:p w14:paraId="30B0D109" w14:textId="77777777" w:rsidR="00F753B3" w:rsidRPr="0004134A" w:rsidRDefault="00F753B3" w:rsidP="00F753B3">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L’adhésion des autorités institutionnelles au</w:t>
            </w:r>
            <w:r w:rsidR="00813467" w:rsidRPr="0004134A">
              <w:rPr>
                <w:rFonts w:ascii="Times New Roman" w:eastAsia="Times New Roman" w:hAnsi="Times New Roman" w:cs="Times New Roman"/>
                <w:color w:val="000000"/>
                <w:lang w:val="fr-FR"/>
              </w:rPr>
              <w:t xml:space="preserve"> programme NIMD à réaliser au Burundi</w:t>
            </w:r>
          </w:p>
          <w:p w14:paraId="7E406B09" w14:textId="61A9604B" w:rsidR="00813467" w:rsidRPr="0004134A" w:rsidRDefault="00813467" w:rsidP="00F753B3">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Ouverture de l’espace pour le processus d’enregistrement</w:t>
            </w:r>
          </w:p>
        </w:tc>
        <w:tc>
          <w:tcPr>
            <w:tcW w:w="2127" w:type="dxa"/>
            <w:tcBorders>
              <w:top w:val="single" w:sz="4" w:space="0" w:color="auto"/>
              <w:left w:val="nil"/>
              <w:bottom w:val="single" w:sz="4" w:space="0" w:color="auto"/>
              <w:right w:val="single" w:sz="4" w:space="0" w:color="auto"/>
            </w:tcBorders>
            <w:shd w:val="clear" w:color="auto" w:fill="auto"/>
            <w:noWrap/>
          </w:tcPr>
          <w:p w14:paraId="1F7160B3" w14:textId="77777777" w:rsidR="00F74696" w:rsidRPr="00660F55" w:rsidRDefault="00F74696" w:rsidP="00F74696">
            <w:pPr>
              <w:spacing w:after="0" w:line="240" w:lineRule="auto"/>
              <w:rPr>
                <w:rFonts w:ascii="Times New Roman" w:eastAsia="Times New Roman" w:hAnsi="Times New Roman" w:cs="Times New Roman"/>
                <w:color w:val="000000"/>
                <w:lang w:val="fr-FR"/>
              </w:rPr>
            </w:pPr>
            <w:r w:rsidRPr="00660F55">
              <w:rPr>
                <w:rFonts w:ascii="Times New Roman" w:eastAsia="Times New Roman" w:hAnsi="Times New Roman" w:cs="Times New Roman"/>
                <w:color w:val="000000"/>
                <w:lang w:val="fr-FR"/>
              </w:rPr>
              <w:t>3 Dignitaires rencontrés</w:t>
            </w:r>
          </w:p>
          <w:p w14:paraId="5B97867F" w14:textId="77777777" w:rsidR="00F74696" w:rsidRPr="00660F55" w:rsidRDefault="00F74696" w:rsidP="00F74696">
            <w:pPr>
              <w:spacing w:after="0" w:line="240" w:lineRule="auto"/>
              <w:rPr>
                <w:rFonts w:ascii="Times New Roman" w:eastAsia="Times New Roman" w:hAnsi="Times New Roman" w:cs="Times New Roman"/>
                <w:color w:val="000000"/>
                <w:lang w:val="fr-FR"/>
              </w:rPr>
            </w:pPr>
            <w:r w:rsidRPr="00660F55">
              <w:rPr>
                <w:rFonts w:ascii="Times New Roman" w:eastAsia="Times New Roman" w:hAnsi="Times New Roman" w:cs="Times New Roman"/>
                <w:color w:val="000000"/>
                <w:lang w:val="fr-FR"/>
              </w:rPr>
              <w:t>14 Autorités politiques rencontrées</w:t>
            </w:r>
          </w:p>
          <w:p w14:paraId="08574058" w14:textId="20F1049E" w:rsidR="00813467" w:rsidRPr="00EF5BD0" w:rsidRDefault="00F74696" w:rsidP="00F753B3">
            <w:pPr>
              <w:spacing w:after="0" w:line="240" w:lineRule="auto"/>
              <w:rPr>
                <w:rFonts w:ascii="Times New Roman" w:eastAsia="Times New Roman" w:hAnsi="Times New Roman" w:cs="Times New Roman"/>
                <w:color w:val="000000"/>
                <w:lang w:val="fr-FR"/>
              </w:rPr>
            </w:pPr>
            <w:r w:rsidRPr="00660F55">
              <w:rPr>
                <w:rFonts w:ascii="Times New Roman" w:eastAsia="Times New Roman" w:hAnsi="Times New Roman" w:cs="Times New Roman"/>
                <w:color w:val="000000"/>
                <w:lang w:val="fr-FR"/>
              </w:rPr>
              <w:t>25 Hauts cadres institutionnels rencontrés</w:t>
            </w:r>
          </w:p>
        </w:tc>
        <w:tc>
          <w:tcPr>
            <w:tcW w:w="3118" w:type="dxa"/>
            <w:tcBorders>
              <w:top w:val="single" w:sz="4" w:space="0" w:color="auto"/>
              <w:left w:val="nil"/>
              <w:bottom w:val="single" w:sz="4" w:space="0" w:color="auto"/>
              <w:right w:val="single" w:sz="4" w:space="0" w:color="auto"/>
            </w:tcBorders>
            <w:shd w:val="clear" w:color="auto" w:fill="auto"/>
          </w:tcPr>
          <w:p w14:paraId="164C2997" w14:textId="0ED55B3D" w:rsidR="00F753B3" w:rsidRPr="0004134A" w:rsidRDefault="00F753B3" w:rsidP="00F753B3">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Rencontres formelles et informelles organisées par le Directeur-Pays auprès de différents acteurs nationaux en prélude à l’enregistrement du bureau-pays et au lancement des activités du projet.</w:t>
            </w:r>
          </w:p>
        </w:tc>
      </w:tr>
      <w:tr w:rsidR="00660F55" w:rsidRPr="00911768" w14:paraId="62222BC6" w14:textId="77777777" w:rsidTr="00022FA2">
        <w:trPr>
          <w:trHeight w:val="1418"/>
        </w:trPr>
        <w:tc>
          <w:tcPr>
            <w:tcW w:w="3545" w:type="dxa"/>
            <w:tcBorders>
              <w:top w:val="nil"/>
              <w:left w:val="single" w:sz="4" w:space="0" w:color="auto"/>
              <w:bottom w:val="single" w:sz="4" w:space="0" w:color="auto"/>
              <w:right w:val="single" w:sz="4" w:space="0" w:color="auto"/>
            </w:tcBorders>
            <w:shd w:val="clear" w:color="000000" w:fill="FFFFFF"/>
            <w:hideMark/>
          </w:tcPr>
          <w:p w14:paraId="6096BA0A"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A.1.1.2 Évaluation des besoins des partis politiques en matière de capacités dans les domaines de l’élaboration des programmes politiques, de la démocratie interne et du développement organisationnel</w:t>
            </w:r>
          </w:p>
        </w:tc>
        <w:tc>
          <w:tcPr>
            <w:tcW w:w="2551" w:type="dxa"/>
            <w:tcBorders>
              <w:top w:val="nil"/>
              <w:left w:val="nil"/>
              <w:bottom w:val="single" w:sz="4" w:space="0" w:color="auto"/>
              <w:right w:val="single" w:sz="4" w:space="0" w:color="auto"/>
            </w:tcBorders>
            <w:shd w:val="clear" w:color="000000" w:fill="FFFFFF"/>
            <w:hideMark/>
          </w:tcPr>
          <w:p w14:paraId="116BF5E4" w14:textId="77777777" w:rsidR="00CC29CC" w:rsidRPr="0004134A" w:rsidRDefault="00CC29CC" w:rsidP="00CC1B00">
            <w:pPr>
              <w:spacing w:after="0" w:line="240" w:lineRule="auto"/>
              <w:rPr>
                <w:rFonts w:ascii="Times New Roman" w:eastAsia="Times New Roman" w:hAnsi="Times New Roman" w:cs="Times New Roman"/>
                <w:color w:val="000000"/>
              </w:rPr>
            </w:pPr>
            <w:r w:rsidRPr="0004134A">
              <w:rPr>
                <w:rFonts w:ascii="Times New Roman" w:eastAsia="Times New Roman" w:hAnsi="Times New Roman" w:cs="Times New Roman"/>
                <w:color w:val="000000"/>
              </w:rPr>
              <w:t>N/A</w:t>
            </w:r>
          </w:p>
        </w:tc>
        <w:tc>
          <w:tcPr>
            <w:tcW w:w="3827" w:type="dxa"/>
            <w:tcBorders>
              <w:top w:val="nil"/>
              <w:left w:val="nil"/>
              <w:bottom w:val="single" w:sz="4" w:space="0" w:color="auto"/>
              <w:right w:val="single" w:sz="4" w:space="0" w:color="auto"/>
            </w:tcBorders>
            <w:shd w:val="clear" w:color="000000" w:fill="FFFFFF"/>
            <w:hideMark/>
          </w:tcPr>
          <w:p w14:paraId="447D4BCE" w14:textId="7536FED1" w:rsidR="00813467" w:rsidRPr="0004134A" w:rsidRDefault="00813467" w:rsidP="00035673">
            <w:pPr>
              <w:pStyle w:val="CommentText"/>
              <w:rPr>
                <w:rFonts w:ascii="Times New Roman" w:hAnsi="Times New Roman" w:cs="Times New Roman"/>
                <w:sz w:val="22"/>
                <w:szCs w:val="22"/>
                <w:lang w:val="fr-FR"/>
              </w:rPr>
            </w:pPr>
            <w:r w:rsidRPr="0004134A">
              <w:rPr>
                <w:rFonts w:ascii="Times New Roman" w:hAnsi="Times New Roman" w:cs="Times New Roman"/>
                <w:sz w:val="22"/>
                <w:szCs w:val="22"/>
                <w:lang w:val="fr-FR"/>
              </w:rPr>
              <w:t xml:space="preserve">Les besoins des partis politiques </w:t>
            </w:r>
            <w:r w:rsidRPr="0004134A">
              <w:rPr>
                <w:rFonts w:ascii="Times New Roman" w:eastAsia="Times New Roman" w:hAnsi="Times New Roman" w:cs="Times New Roman"/>
                <w:color w:val="000000"/>
                <w:sz w:val="22"/>
                <w:szCs w:val="22"/>
                <w:lang w:val="fr-FR"/>
              </w:rPr>
              <w:t>dans les domaines de l’élaboration des programmes politiques, de la démocratie interne et du développement organisationnel</w:t>
            </w:r>
            <w:r w:rsidRPr="0004134A">
              <w:rPr>
                <w:rFonts w:ascii="Times New Roman" w:hAnsi="Times New Roman" w:cs="Times New Roman"/>
                <w:sz w:val="22"/>
                <w:szCs w:val="22"/>
                <w:lang w:val="fr-FR"/>
              </w:rPr>
              <w:t xml:space="preserve"> ont été mis en exergue</w:t>
            </w:r>
          </w:p>
          <w:p w14:paraId="75C4E0A6" w14:textId="10F9DA01" w:rsidR="00CC29CC" w:rsidRPr="0004134A" w:rsidRDefault="00CC29CC" w:rsidP="0004134A">
            <w:pPr>
              <w:pStyle w:val="CommentText"/>
              <w:rPr>
                <w:rFonts w:ascii="Times New Roman" w:eastAsia="Times New Roman" w:hAnsi="Times New Roman" w:cs="Times New Roman"/>
                <w:color w:val="000000"/>
                <w:sz w:val="22"/>
                <w:szCs w:val="22"/>
                <w:lang w:val="fr-FR"/>
              </w:rPr>
            </w:pPr>
          </w:p>
        </w:tc>
        <w:tc>
          <w:tcPr>
            <w:tcW w:w="2127" w:type="dxa"/>
            <w:tcBorders>
              <w:top w:val="nil"/>
              <w:left w:val="nil"/>
              <w:bottom w:val="single" w:sz="4" w:space="0" w:color="auto"/>
              <w:right w:val="single" w:sz="4" w:space="0" w:color="auto"/>
            </w:tcBorders>
            <w:shd w:val="clear" w:color="000000" w:fill="FFFFFF"/>
            <w:hideMark/>
          </w:tcPr>
          <w:p w14:paraId="1CEB42AF"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Rapport d'analyse avec la liste des partis et des personnes rencontrées</w:t>
            </w:r>
          </w:p>
        </w:tc>
        <w:tc>
          <w:tcPr>
            <w:tcW w:w="3118" w:type="dxa"/>
            <w:tcBorders>
              <w:top w:val="nil"/>
              <w:left w:val="nil"/>
              <w:bottom w:val="single" w:sz="4" w:space="0" w:color="auto"/>
              <w:right w:val="single" w:sz="4" w:space="0" w:color="auto"/>
            </w:tcBorders>
            <w:shd w:val="clear" w:color="000000" w:fill="FFFFFF"/>
            <w:hideMark/>
          </w:tcPr>
          <w:p w14:paraId="0B8B4B61" w14:textId="1BA69143" w:rsidR="00CC29CC" w:rsidRPr="0004134A" w:rsidRDefault="00CC29CC" w:rsidP="00CC29CC">
            <w:pPr>
              <w:spacing w:after="0" w:line="240" w:lineRule="auto"/>
              <w:jc w:val="both"/>
              <w:rPr>
                <w:rFonts w:ascii="Times New Roman" w:eastAsia="Times New Roman" w:hAnsi="Times New Roman" w:cs="Times New Roman"/>
                <w:lang w:val="fr-FR"/>
              </w:rPr>
            </w:pPr>
            <w:r w:rsidRPr="0004134A">
              <w:rPr>
                <w:rFonts w:ascii="Times New Roman" w:eastAsia="Times New Roman" w:hAnsi="Times New Roman" w:cs="Times New Roman"/>
                <w:lang w:val="fr-FR"/>
              </w:rPr>
              <w:t xml:space="preserve">Rapport </w:t>
            </w:r>
            <w:r w:rsidR="00B70DA9" w:rsidRPr="0004134A">
              <w:rPr>
                <w:rFonts w:ascii="Times New Roman" w:eastAsia="Times New Roman" w:hAnsi="Times New Roman" w:cs="Times New Roman"/>
                <w:lang w:val="fr-FR"/>
              </w:rPr>
              <w:t>définitif</w:t>
            </w:r>
            <w:r w:rsidRPr="0004134A">
              <w:rPr>
                <w:rFonts w:ascii="Times New Roman" w:eastAsia="Times New Roman" w:hAnsi="Times New Roman" w:cs="Times New Roman"/>
                <w:lang w:val="fr-FR"/>
              </w:rPr>
              <w:t xml:space="preserve"> remis </w:t>
            </w:r>
            <w:r w:rsidR="00022FA2" w:rsidRPr="0004134A">
              <w:rPr>
                <w:rFonts w:ascii="Times New Roman" w:eastAsia="Times New Roman" w:hAnsi="Times New Roman" w:cs="Times New Roman"/>
                <w:lang w:val="fr-FR"/>
              </w:rPr>
              <w:t xml:space="preserve">au mois de </w:t>
            </w:r>
            <w:r w:rsidR="00B70DA9" w:rsidRPr="0004134A">
              <w:rPr>
                <w:rFonts w:ascii="Times New Roman" w:eastAsia="Times New Roman" w:hAnsi="Times New Roman" w:cs="Times New Roman"/>
                <w:lang w:val="fr-FR"/>
              </w:rPr>
              <w:t>janvier 2024</w:t>
            </w:r>
          </w:p>
          <w:p w14:paraId="0869E927" w14:textId="54EAECF4" w:rsidR="003A6CB8" w:rsidRPr="0004134A" w:rsidRDefault="003A6CB8" w:rsidP="00CC29CC">
            <w:pPr>
              <w:spacing w:after="0" w:line="240" w:lineRule="auto"/>
              <w:jc w:val="both"/>
              <w:rPr>
                <w:rFonts w:ascii="Times New Roman" w:eastAsia="Times New Roman" w:hAnsi="Times New Roman" w:cs="Times New Roman"/>
                <w:lang w:val="fr-FR"/>
              </w:rPr>
            </w:pPr>
          </w:p>
        </w:tc>
      </w:tr>
      <w:tr w:rsidR="00660F55" w:rsidRPr="00911768" w14:paraId="0A29CE10" w14:textId="77777777" w:rsidTr="00466EE3">
        <w:trPr>
          <w:trHeight w:val="1359"/>
        </w:trPr>
        <w:tc>
          <w:tcPr>
            <w:tcW w:w="3545" w:type="dxa"/>
            <w:tcBorders>
              <w:top w:val="nil"/>
              <w:left w:val="single" w:sz="4" w:space="0" w:color="auto"/>
              <w:bottom w:val="single" w:sz="4" w:space="0" w:color="auto"/>
              <w:right w:val="single" w:sz="4" w:space="0" w:color="auto"/>
            </w:tcBorders>
            <w:shd w:val="clear" w:color="000000" w:fill="FFFFFF"/>
            <w:hideMark/>
          </w:tcPr>
          <w:p w14:paraId="53F62405"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A 4.2.2 mener des consultations avec les leaders politiques, les points focaux des partis politiques, les leaders communautaires, les leaders d'opinion/experts, sur l'évolution du contexte politique au Burundi </w:t>
            </w:r>
          </w:p>
        </w:tc>
        <w:tc>
          <w:tcPr>
            <w:tcW w:w="2551" w:type="dxa"/>
            <w:tcBorders>
              <w:top w:val="nil"/>
              <w:left w:val="nil"/>
              <w:bottom w:val="single" w:sz="4" w:space="0" w:color="auto"/>
              <w:right w:val="single" w:sz="4" w:space="0" w:color="auto"/>
            </w:tcBorders>
            <w:shd w:val="clear" w:color="000000" w:fill="FFFFFF"/>
            <w:hideMark/>
          </w:tcPr>
          <w:p w14:paraId="24D0AC89" w14:textId="77777777" w:rsidR="00CC29CC" w:rsidRPr="0004134A" w:rsidRDefault="00CC29CC" w:rsidP="00CC1B00">
            <w:pPr>
              <w:spacing w:after="0" w:line="240" w:lineRule="auto"/>
              <w:rPr>
                <w:rFonts w:ascii="Times New Roman" w:eastAsia="Times New Roman" w:hAnsi="Times New Roman" w:cs="Times New Roman"/>
                <w:color w:val="000000"/>
              </w:rPr>
            </w:pPr>
            <w:r w:rsidRPr="0004134A">
              <w:rPr>
                <w:rFonts w:ascii="Times New Roman" w:eastAsia="Times New Roman" w:hAnsi="Times New Roman" w:cs="Times New Roman"/>
                <w:color w:val="000000"/>
              </w:rPr>
              <w:t>N/A</w:t>
            </w:r>
          </w:p>
        </w:tc>
        <w:tc>
          <w:tcPr>
            <w:tcW w:w="3827" w:type="dxa"/>
            <w:tcBorders>
              <w:top w:val="nil"/>
              <w:left w:val="nil"/>
              <w:bottom w:val="single" w:sz="4" w:space="0" w:color="auto"/>
              <w:right w:val="single" w:sz="4" w:space="0" w:color="auto"/>
            </w:tcBorders>
            <w:shd w:val="clear" w:color="000000" w:fill="FFFFFF"/>
            <w:hideMark/>
          </w:tcPr>
          <w:p w14:paraId="7B347E24" w14:textId="77777777" w:rsidR="00466EE3" w:rsidRPr="0004134A" w:rsidRDefault="00466EE3"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 contexte socio-politique pour la période de septembre-novembre 2023 a été décrit</w:t>
            </w:r>
          </w:p>
          <w:p w14:paraId="7477B9A4" w14:textId="7AF89424" w:rsidR="00466EE3" w:rsidRPr="0004134A" w:rsidRDefault="00466EE3"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Certaines interventions du projet FIPP ont été revues en tenant compte du contexte </w:t>
            </w:r>
          </w:p>
        </w:tc>
        <w:tc>
          <w:tcPr>
            <w:tcW w:w="2127" w:type="dxa"/>
            <w:tcBorders>
              <w:top w:val="nil"/>
              <w:left w:val="nil"/>
              <w:bottom w:val="single" w:sz="4" w:space="0" w:color="auto"/>
              <w:right w:val="single" w:sz="4" w:space="0" w:color="auto"/>
            </w:tcBorders>
            <w:shd w:val="clear" w:color="000000" w:fill="FFFFFF"/>
            <w:hideMark/>
          </w:tcPr>
          <w:p w14:paraId="3019B96C" w14:textId="5CF023A6" w:rsidR="00CC29CC" w:rsidRPr="0004134A" w:rsidRDefault="00CC29CC" w:rsidP="00CC29CC">
            <w:pPr>
              <w:spacing w:after="0" w:line="240" w:lineRule="auto"/>
              <w:jc w:val="both"/>
              <w:rPr>
                <w:rFonts w:ascii="Times New Roman" w:eastAsia="Times New Roman" w:hAnsi="Times New Roman" w:cs="Times New Roman"/>
                <w:color w:val="000000"/>
              </w:rPr>
            </w:pPr>
            <w:r w:rsidRPr="0004134A">
              <w:rPr>
                <w:rFonts w:ascii="Times New Roman" w:eastAsia="Times New Roman" w:hAnsi="Times New Roman" w:cs="Times New Roman"/>
                <w:color w:val="000000"/>
              </w:rPr>
              <w:t>Rapport d'analyse</w:t>
            </w:r>
          </w:p>
        </w:tc>
        <w:tc>
          <w:tcPr>
            <w:tcW w:w="3118" w:type="dxa"/>
            <w:tcBorders>
              <w:top w:val="nil"/>
              <w:left w:val="nil"/>
              <w:bottom w:val="single" w:sz="4" w:space="0" w:color="auto"/>
              <w:right w:val="single" w:sz="4" w:space="0" w:color="auto"/>
            </w:tcBorders>
            <w:shd w:val="clear" w:color="000000" w:fill="FFFFFF"/>
            <w:hideMark/>
          </w:tcPr>
          <w:p w14:paraId="65EB2CFD" w14:textId="43FF0B30" w:rsidR="003A6CB8" w:rsidRPr="0004134A" w:rsidRDefault="00CC29CC" w:rsidP="00022FA2">
            <w:pPr>
              <w:spacing w:after="0" w:line="240" w:lineRule="auto"/>
              <w:jc w:val="both"/>
              <w:rPr>
                <w:rFonts w:ascii="Times New Roman" w:eastAsia="Times New Roman" w:hAnsi="Times New Roman" w:cs="Times New Roman"/>
                <w:lang w:val="fr-FR"/>
              </w:rPr>
            </w:pPr>
            <w:r w:rsidRPr="00911768">
              <w:rPr>
                <w:rFonts w:ascii="Times New Roman" w:eastAsia="Times New Roman" w:hAnsi="Times New Roman" w:cs="Times New Roman"/>
                <w:highlight w:val="yellow"/>
                <w:lang w:val="fr-FR"/>
              </w:rPr>
              <w:t xml:space="preserve">Rapport </w:t>
            </w:r>
            <w:r w:rsidR="00B70DA9" w:rsidRPr="00911768">
              <w:rPr>
                <w:rFonts w:ascii="Times New Roman" w:eastAsia="Times New Roman" w:hAnsi="Times New Roman" w:cs="Times New Roman"/>
                <w:highlight w:val="yellow"/>
                <w:lang w:val="fr-FR"/>
              </w:rPr>
              <w:t>définitif</w:t>
            </w:r>
            <w:r w:rsidRPr="0004134A">
              <w:rPr>
                <w:rFonts w:ascii="Times New Roman" w:eastAsia="Times New Roman" w:hAnsi="Times New Roman" w:cs="Times New Roman"/>
                <w:lang w:val="fr-FR"/>
              </w:rPr>
              <w:t xml:space="preserve"> remis </w:t>
            </w:r>
            <w:r w:rsidR="00022FA2" w:rsidRPr="0004134A">
              <w:rPr>
                <w:rFonts w:ascii="Times New Roman" w:eastAsia="Times New Roman" w:hAnsi="Times New Roman" w:cs="Times New Roman"/>
                <w:lang w:val="fr-FR"/>
              </w:rPr>
              <w:t>au mois de décembre 2023</w:t>
            </w:r>
          </w:p>
        </w:tc>
      </w:tr>
      <w:tr w:rsidR="00660F55" w:rsidRPr="00911768" w14:paraId="710368C5" w14:textId="77777777" w:rsidTr="00466EE3">
        <w:trPr>
          <w:trHeight w:val="699"/>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0D301BA"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A 2.1.2 Organisation des pré-colloques et du colloque national des leaders d'opinion sur la cohabitation pacifique et la consolidation de la paix pour un développement durable au Burundi</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771C6C36" w14:textId="6AA31C8A"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Organisation de </w:t>
            </w:r>
            <w:r w:rsidR="00D4066E" w:rsidRPr="0004134A">
              <w:rPr>
                <w:rFonts w:ascii="Times New Roman" w:eastAsia="Times New Roman" w:hAnsi="Times New Roman" w:cs="Times New Roman"/>
                <w:color w:val="000000"/>
                <w:lang w:val="fr-FR"/>
              </w:rPr>
              <w:t xml:space="preserve">7 </w:t>
            </w:r>
            <w:r w:rsidRPr="0004134A">
              <w:rPr>
                <w:rFonts w:ascii="Times New Roman" w:eastAsia="Times New Roman" w:hAnsi="Times New Roman" w:cs="Times New Roman"/>
                <w:color w:val="000000"/>
                <w:lang w:val="fr-FR"/>
              </w:rPr>
              <w:t>pré-colloques</w:t>
            </w:r>
          </w:p>
          <w:p w14:paraId="39F5DBBE" w14:textId="70E2F142" w:rsidR="00CC1B00" w:rsidRPr="0004134A" w:rsidRDefault="00CC1B00"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Préparation du colloque national</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7FBD115" w14:textId="1312AE4F" w:rsidR="00CC29CC" w:rsidRPr="0004134A" w:rsidRDefault="00CC29CC"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Les </w:t>
            </w:r>
            <w:r w:rsidR="00CC1B00" w:rsidRPr="0004134A">
              <w:rPr>
                <w:rFonts w:ascii="Times New Roman" w:eastAsia="Times New Roman" w:hAnsi="Times New Roman" w:cs="Times New Roman"/>
                <w:color w:val="000000"/>
                <w:lang w:val="fr-FR"/>
              </w:rPr>
              <w:t>pré-</w:t>
            </w:r>
            <w:r w:rsidRPr="0004134A">
              <w:rPr>
                <w:rFonts w:ascii="Times New Roman" w:eastAsia="Times New Roman" w:hAnsi="Times New Roman" w:cs="Times New Roman"/>
                <w:color w:val="000000"/>
                <w:lang w:val="fr-FR"/>
              </w:rPr>
              <w:t xml:space="preserve">colloques ont permis de mobilier et de sensibiliser les acteurs politiques sur l'intérêt du colloque </w:t>
            </w:r>
            <w:r w:rsidR="00CC1B00" w:rsidRPr="0004134A">
              <w:rPr>
                <w:rFonts w:ascii="Times New Roman" w:eastAsia="Times New Roman" w:hAnsi="Times New Roman" w:cs="Times New Roman"/>
                <w:color w:val="000000"/>
                <w:lang w:val="fr-FR"/>
              </w:rPr>
              <w:t xml:space="preserve">national </w:t>
            </w:r>
            <w:r w:rsidRPr="0004134A">
              <w:rPr>
                <w:rFonts w:ascii="Times New Roman" w:eastAsia="Times New Roman" w:hAnsi="Times New Roman" w:cs="Times New Roman"/>
                <w:color w:val="000000"/>
                <w:lang w:val="fr-FR"/>
              </w:rPr>
              <w:t>et de définir ses contours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290D565" w14:textId="03947A3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Rapport avec la liste des participants</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99FE40B" w14:textId="7E267B16" w:rsidR="00660F55" w:rsidRPr="0004134A" w:rsidRDefault="003A6CB8" w:rsidP="00CC29CC">
            <w:pPr>
              <w:spacing w:after="0" w:line="240" w:lineRule="auto"/>
              <w:jc w:val="both"/>
              <w:rPr>
                <w:rFonts w:ascii="Times New Roman" w:eastAsia="Times New Roman" w:hAnsi="Times New Roman" w:cs="Times New Roman"/>
                <w:color w:val="000000"/>
                <w:lang w:val="fr-FR"/>
              </w:rPr>
            </w:pPr>
            <w:r w:rsidRPr="00911768">
              <w:rPr>
                <w:rFonts w:ascii="Times New Roman" w:eastAsia="Times New Roman" w:hAnsi="Times New Roman" w:cs="Times New Roman"/>
                <w:color w:val="000000"/>
                <w:highlight w:val="yellow"/>
                <w:lang w:val="fr-FR"/>
              </w:rPr>
              <w:t xml:space="preserve">Les </w:t>
            </w:r>
            <w:r w:rsidR="00D4066E" w:rsidRPr="00911768">
              <w:rPr>
                <w:rFonts w:ascii="Times New Roman" w:eastAsia="Times New Roman" w:hAnsi="Times New Roman" w:cs="Times New Roman"/>
                <w:color w:val="000000"/>
                <w:highlight w:val="yellow"/>
                <w:lang w:val="fr-FR"/>
              </w:rPr>
              <w:t>7</w:t>
            </w:r>
            <w:r w:rsidRPr="00911768">
              <w:rPr>
                <w:rFonts w:ascii="Times New Roman" w:eastAsia="Times New Roman" w:hAnsi="Times New Roman" w:cs="Times New Roman"/>
                <w:color w:val="000000"/>
                <w:highlight w:val="yellow"/>
                <w:lang w:val="fr-FR"/>
              </w:rPr>
              <w:t xml:space="preserve"> pré-colloques</w:t>
            </w:r>
            <w:r w:rsidRPr="0004134A">
              <w:rPr>
                <w:rFonts w:ascii="Times New Roman" w:eastAsia="Times New Roman" w:hAnsi="Times New Roman" w:cs="Times New Roman"/>
                <w:color w:val="000000"/>
                <w:lang w:val="fr-FR"/>
              </w:rPr>
              <w:t xml:space="preserve"> ont été organisés. Le rapport détaillé a connu un retard et sera transmis prochainement. </w:t>
            </w:r>
          </w:p>
          <w:p w14:paraId="0957311A" w14:textId="2D2BA75E" w:rsidR="00CC29CC" w:rsidRPr="0004134A" w:rsidRDefault="00660F55"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Les initiatives pour organiser le colloque national avant la fin de l’année 2023 n’ont pas abouties, et cet événement est aujourd’hui </w:t>
            </w:r>
            <w:r w:rsidR="00915F12" w:rsidRPr="0004134A">
              <w:rPr>
                <w:rFonts w:ascii="Times New Roman" w:eastAsia="Times New Roman" w:hAnsi="Times New Roman" w:cs="Times New Roman"/>
                <w:color w:val="000000"/>
                <w:lang w:val="fr-FR"/>
              </w:rPr>
              <w:t>prévu au</w:t>
            </w:r>
            <w:r w:rsidR="00CC29CC" w:rsidRPr="0004134A">
              <w:rPr>
                <w:rFonts w:ascii="Times New Roman" w:eastAsia="Times New Roman" w:hAnsi="Times New Roman" w:cs="Times New Roman"/>
                <w:color w:val="000000"/>
                <w:lang w:val="fr-FR"/>
              </w:rPr>
              <w:t xml:space="preserve"> mois de février 2024.</w:t>
            </w:r>
          </w:p>
        </w:tc>
      </w:tr>
      <w:tr w:rsidR="00660F55" w:rsidRPr="00911768" w14:paraId="4E651CA0" w14:textId="77777777" w:rsidTr="00466EE3">
        <w:trPr>
          <w:trHeight w:val="1676"/>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AD7327D"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lastRenderedPageBreak/>
              <w:t>A1.3.2 Inciter les dirigeants des partis politiques à être proches de leurs membres avec des actions de responsabilisation des jeunes politiques au niveau local (commune et colline)</w:t>
            </w:r>
          </w:p>
        </w:tc>
        <w:tc>
          <w:tcPr>
            <w:tcW w:w="2551" w:type="dxa"/>
            <w:tcBorders>
              <w:top w:val="single" w:sz="4" w:space="0" w:color="auto"/>
              <w:left w:val="nil"/>
              <w:bottom w:val="single" w:sz="4" w:space="0" w:color="auto"/>
              <w:right w:val="single" w:sz="4" w:space="0" w:color="auto"/>
            </w:tcBorders>
            <w:shd w:val="clear" w:color="auto" w:fill="auto"/>
            <w:hideMark/>
          </w:tcPr>
          <w:p w14:paraId="5FB19723" w14:textId="77777777"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Organisation d'un atelier national sur le thème « inciter les partis politiques à être proches de leurs membres pour réduire les risques de manipulation et des violences électorales »</w:t>
            </w:r>
          </w:p>
          <w:p w14:paraId="1CB8A361" w14:textId="2C4836B0" w:rsidR="00CF6F23" w:rsidRPr="0004134A" w:rsidRDefault="00CF6F23"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Organisation de 5 ateliers provinciaux à l’image de l’atelier national</w:t>
            </w:r>
          </w:p>
        </w:tc>
        <w:tc>
          <w:tcPr>
            <w:tcW w:w="3827" w:type="dxa"/>
            <w:tcBorders>
              <w:top w:val="single" w:sz="4" w:space="0" w:color="auto"/>
              <w:left w:val="nil"/>
              <w:bottom w:val="single" w:sz="4" w:space="0" w:color="auto"/>
              <w:right w:val="single" w:sz="4" w:space="0" w:color="auto"/>
            </w:tcBorders>
            <w:shd w:val="clear" w:color="auto" w:fill="auto"/>
            <w:hideMark/>
          </w:tcPr>
          <w:p w14:paraId="72607C07" w14:textId="6FBBF84E" w:rsidR="00CC29CC" w:rsidRPr="0004134A" w:rsidRDefault="00CC29CC"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L'atelier </w:t>
            </w:r>
            <w:r w:rsidR="00466EE3" w:rsidRPr="0004134A">
              <w:rPr>
                <w:rFonts w:ascii="Times New Roman" w:eastAsia="Times New Roman" w:hAnsi="Times New Roman" w:cs="Times New Roman"/>
                <w:color w:val="000000"/>
                <w:lang w:val="fr-FR"/>
              </w:rPr>
              <w:t xml:space="preserve">a servi </w:t>
            </w:r>
            <w:r w:rsidRPr="0004134A">
              <w:rPr>
                <w:rFonts w:ascii="Times New Roman" w:eastAsia="Times New Roman" w:hAnsi="Times New Roman" w:cs="Times New Roman"/>
                <w:color w:val="000000"/>
                <w:lang w:val="fr-FR"/>
              </w:rPr>
              <w:t xml:space="preserve">de cadre de dialogue et d'expression entre les responsables des partis politiques et </w:t>
            </w:r>
            <w:r w:rsidR="00466EE3" w:rsidRPr="0004134A">
              <w:rPr>
                <w:rFonts w:ascii="Times New Roman" w:eastAsia="Times New Roman" w:hAnsi="Times New Roman" w:cs="Times New Roman"/>
                <w:color w:val="000000"/>
                <w:lang w:val="fr-FR"/>
              </w:rPr>
              <w:t xml:space="preserve">il a permis </w:t>
            </w:r>
            <w:r w:rsidRPr="0004134A">
              <w:rPr>
                <w:rFonts w:ascii="Times New Roman" w:eastAsia="Times New Roman" w:hAnsi="Times New Roman" w:cs="Times New Roman"/>
                <w:color w:val="000000"/>
                <w:lang w:val="fr-FR"/>
              </w:rPr>
              <w:t>la création d'un environnement favorable pour des élections apaisées</w:t>
            </w:r>
          </w:p>
        </w:tc>
        <w:tc>
          <w:tcPr>
            <w:tcW w:w="2127" w:type="dxa"/>
            <w:tcBorders>
              <w:top w:val="single" w:sz="4" w:space="0" w:color="auto"/>
              <w:left w:val="nil"/>
              <w:bottom w:val="single" w:sz="4" w:space="0" w:color="auto"/>
              <w:right w:val="single" w:sz="4" w:space="0" w:color="auto"/>
            </w:tcBorders>
            <w:shd w:val="clear" w:color="auto" w:fill="auto"/>
            <w:hideMark/>
          </w:tcPr>
          <w:p w14:paraId="4784525F" w14:textId="1B38CFF3" w:rsidR="00466EE3" w:rsidRPr="0004134A" w:rsidRDefault="00466EE3"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Rapport de l’atelier</w:t>
            </w:r>
          </w:p>
          <w:p w14:paraId="61D5A22D" w14:textId="383B4A8A" w:rsidR="00466EE3" w:rsidRPr="0004134A" w:rsidRDefault="00466EE3"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 </w:t>
            </w:r>
            <w:r w:rsidR="0004134A">
              <w:rPr>
                <w:rFonts w:ascii="Times New Roman" w:eastAsia="Times New Roman" w:hAnsi="Times New Roman" w:cs="Times New Roman"/>
                <w:color w:val="000000"/>
                <w:lang w:val="fr-FR"/>
              </w:rPr>
              <w:t>L</w:t>
            </w:r>
            <w:r w:rsidR="00CC29CC" w:rsidRPr="0004134A">
              <w:rPr>
                <w:rFonts w:ascii="Times New Roman" w:eastAsia="Times New Roman" w:hAnsi="Times New Roman" w:cs="Times New Roman"/>
                <w:color w:val="000000"/>
                <w:lang w:val="fr-FR"/>
              </w:rPr>
              <w:t>iste</w:t>
            </w:r>
            <w:r w:rsidRPr="0004134A">
              <w:rPr>
                <w:rFonts w:ascii="Times New Roman" w:eastAsia="Times New Roman" w:hAnsi="Times New Roman" w:cs="Times New Roman"/>
                <w:color w:val="000000"/>
                <w:lang w:val="fr-FR"/>
              </w:rPr>
              <w:t xml:space="preserve"> des participants </w:t>
            </w:r>
            <w:r w:rsidR="00CC29CC" w:rsidRPr="0004134A">
              <w:rPr>
                <w:rFonts w:ascii="Times New Roman" w:eastAsia="Times New Roman" w:hAnsi="Times New Roman" w:cs="Times New Roman"/>
                <w:color w:val="000000"/>
                <w:lang w:val="fr-FR"/>
              </w:rPr>
              <w:t xml:space="preserve"> </w:t>
            </w:r>
          </w:p>
          <w:p w14:paraId="7A8316CB" w14:textId="77FAF2EB"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 </w:t>
            </w:r>
            <w:r w:rsidR="00466EE3" w:rsidRPr="0004134A">
              <w:rPr>
                <w:rFonts w:ascii="Times New Roman" w:eastAsia="Times New Roman" w:hAnsi="Times New Roman" w:cs="Times New Roman"/>
                <w:color w:val="000000"/>
                <w:lang w:val="fr-FR"/>
              </w:rPr>
              <w:t>R</w:t>
            </w:r>
            <w:r w:rsidRPr="0004134A">
              <w:rPr>
                <w:rFonts w:ascii="Times New Roman" w:eastAsia="Times New Roman" w:hAnsi="Times New Roman" w:cs="Times New Roman"/>
                <w:color w:val="000000"/>
                <w:lang w:val="fr-FR"/>
              </w:rPr>
              <w:t>ecommandations assorties de mécanismes de suivi</w:t>
            </w:r>
          </w:p>
        </w:tc>
        <w:tc>
          <w:tcPr>
            <w:tcW w:w="3118" w:type="dxa"/>
            <w:tcBorders>
              <w:top w:val="single" w:sz="4" w:space="0" w:color="auto"/>
              <w:left w:val="nil"/>
              <w:bottom w:val="single" w:sz="4" w:space="0" w:color="auto"/>
              <w:right w:val="single" w:sz="4" w:space="0" w:color="auto"/>
            </w:tcBorders>
            <w:shd w:val="clear" w:color="auto" w:fill="auto"/>
            <w:hideMark/>
          </w:tcPr>
          <w:p w14:paraId="6F3996FC" w14:textId="4AF403B9" w:rsidR="00CC29CC" w:rsidRPr="0004134A" w:rsidRDefault="00CF6F23"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Il était prévu d’organiser 6 ateliers mais suite à des blocages institutionnels, le premier atelier du niveau </w:t>
            </w:r>
            <w:r w:rsidR="00CC29CC" w:rsidRPr="0004134A">
              <w:rPr>
                <w:rFonts w:ascii="Times New Roman" w:eastAsia="Times New Roman" w:hAnsi="Times New Roman" w:cs="Times New Roman"/>
                <w:color w:val="000000"/>
                <w:lang w:val="fr-FR"/>
              </w:rPr>
              <w:t>national s'est tenu le 31/1/2024. Les 5 ateliers sont prévus au cours des mois de février-mars 2024.</w:t>
            </w:r>
          </w:p>
          <w:p w14:paraId="120E6C80" w14:textId="0CA822C7" w:rsidR="00CF6F23" w:rsidRPr="0004134A" w:rsidRDefault="00CF6F23"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rapports détaillés de ces ateliers ainsi que les annexes seront transmis prochainement</w:t>
            </w:r>
          </w:p>
        </w:tc>
      </w:tr>
      <w:tr w:rsidR="00660F55" w:rsidRPr="00911768" w14:paraId="1F7A92E2" w14:textId="77777777" w:rsidTr="00022FA2">
        <w:trPr>
          <w:trHeight w:val="1922"/>
        </w:trPr>
        <w:tc>
          <w:tcPr>
            <w:tcW w:w="3545" w:type="dxa"/>
            <w:tcBorders>
              <w:top w:val="nil"/>
              <w:left w:val="single" w:sz="4" w:space="0" w:color="auto"/>
              <w:bottom w:val="single" w:sz="4" w:space="0" w:color="auto"/>
              <w:right w:val="single" w:sz="4" w:space="0" w:color="auto"/>
            </w:tcBorders>
            <w:shd w:val="clear" w:color="auto" w:fill="auto"/>
            <w:hideMark/>
          </w:tcPr>
          <w:p w14:paraId="180813D3"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A3.2.3 Organiser les séances de dialogue intergénérationnel entre les jeunes des partis politiques et les dirigeants des partis nationaux et provinciaux.</w:t>
            </w:r>
          </w:p>
        </w:tc>
        <w:tc>
          <w:tcPr>
            <w:tcW w:w="2551" w:type="dxa"/>
            <w:tcBorders>
              <w:top w:val="nil"/>
              <w:left w:val="nil"/>
              <w:bottom w:val="single" w:sz="4" w:space="0" w:color="auto"/>
              <w:right w:val="single" w:sz="4" w:space="0" w:color="auto"/>
            </w:tcBorders>
            <w:shd w:val="clear" w:color="auto" w:fill="auto"/>
            <w:hideMark/>
          </w:tcPr>
          <w:p w14:paraId="08ED3622" w14:textId="77777777"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Organisation de 6 dialogues intergénérationnels entre les jeunes des partis politiques et les dirigeants des partis nationaux et provinciaux.</w:t>
            </w:r>
          </w:p>
        </w:tc>
        <w:tc>
          <w:tcPr>
            <w:tcW w:w="3827" w:type="dxa"/>
            <w:tcBorders>
              <w:top w:val="nil"/>
              <w:left w:val="nil"/>
              <w:bottom w:val="single" w:sz="4" w:space="0" w:color="auto"/>
              <w:right w:val="single" w:sz="4" w:space="0" w:color="auto"/>
            </w:tcBorders>
            <w:shd w:val="clear" w:color="auto" w:fill="auto"/>
            <w:hideMark/>
          </w:tcPr>
          <w:p w14:paraId="0F427DD6" w14:textId="71462A43" w:rsidR="00CC29CC" w:rsidRPr="0004134A" w:rsidRDefault="00CC29CC"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Ces séances </w:t>
            </w:r>
            <w:r w:rsidR="00466EE3" w:rsidRPr="0004134A">
              <w:rPr>
                <w:rFonts w:ascii="Times New Roman" w:eastAsia="Times New Roman" w:hAnsi="Times New Roman" w:cs="Times New Roman"/>
                <w:color w:val="000000"/>
                <w:lang w:val="fr-FR"/>
              </w:rPr>
              <w:t xml:space="preserve">ont permis </w:t>
            </w:r>
            <w:r w:rsidRPr="0004134A">
              <w:rPr>
                <w:rFonts w:ascii="Times New Roman" w:eastAsia="Times New Roman" w:hAnsi="Times New Roman" w:cs="Times New Roman"/>
                <w:color w:val="000000"/>
                <w:lang w:val="fr-FR"/>
              </w:rPr>
              <w:t>de faire rencontrer des personnes aux profils divers ayant des expériences enrichissantes à partager avec les nouvelles générations constituées de jeunes hommes et femmes afin que le passé puisse réellement contribuer à préparer l’avenir.</w:t>
            </w:r>
          </w:p>
        </w:tc>
        <w:tc>
          <w:tcPr>
            <w:tcW w:w="2127" w:type="dxa"/>
            <w:tcBorders>
              <w:top w:val="nil"/>
              <w:left w:val="nil"/>
              <w:bottom w:val="single" w:sz="4" w:space="0" w:color="auto"/>
              <w:right w:val="single" w:sz="4" w:space="0" w:color="auto"/>
            </w:tcBorders>
            <w:shd w:val="clear" w:color="auto" w:fill="auto"/>
            <w:hideMark/>
          </w:tcPr>
          <w:p w14:paraId="04E23929" w14:textId="58DACCD0" w:rsidR="00CC29CC" w:rsidRPr="0004134A" w:rsidRDefault="00915F12"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Six</w:t>
            </w:r>
            <w:r w:rsidR="00CC29CC" w:rsidRPr="0004134A">
              <w:rPr>
                <w:rFonts w:ascii="Times New Roman" w:eastAsia="Times New Roman" w:hAnsi="Times New Roman" w:cs="Times New Roman"/>
                <w:color w:val="000000"/>
                <w:lang w:val="fr-FR"/>
              </w:rPr>
              <w:t xml:space="preserve"> dialogues                  Rapports avec listes des participants H/F/J et des recommandations assorties de mécanisme de suivi de mise en œuvre</w:t>
            </w:r>
          </w:p>
        </w:tc>
        <w:tc>
          <w:tcPr>
            <w:tcW w:w="3118" w:type="dxa"/>
            <w:tcBorders>
              <w:top w:val="nil"/>
              <w:left w:val="nil"/>
              <w:bottom w:val="single" w:sz="4" w:space="0" w:color="auto"/>
              <w:right w:val="single" w:sz="4" w:space="0" w:color="auto"/>
            </w:tcBorders>
            <w:shd w:val="clear" w:color="auto" w:fill="auto"/>
            <w:hideMark/>
          </w:tcPr>
          <w:p w14:paraId="0BAB19CF" w14:textId="77777777" w:rsidR="00CC29CC" w:rsidRPr="0004134A" w:rsidRDefault="006A0C9E"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 rapport du </w:t>
            </w:r>
            <w:r w:rsidR="00CC29CC" w:rsidRPr="0004134A">
              <w:rPr>
                <w:rFonts w:ascii="Times New Roman" w:eastAsia="Times New Roman" w:hAnsi="Times New Roman" w:cs="Times New Roman"/>
                <w:color w:val="000000"/>
                <w:lang w:val="fr-FR"/>
              </w:rPr>
              <w:t>1er dialogue tenu à Bujumbura le 21/12/2023</w:t>
            </w:r>
            <w:r w:rsidRPr="0004134A">
              <w:rPr>
                <w:rFonts w:ascii="Times New Roman" w:eastAsia="Times New Roman" w:hAnsi="Times New Roman" w:cs="Times New Roman"/>
                <w:color w:val="000000"/>
                <w:lang w:val="fr-FR"/>
              </w:rPr>
              <w:t xml:space="preserve"> est annexé </w:t>
            </w:r>
          </w:p>
          <w:p w14:paraId="75B79922" w14:textId="0961594A" w:rsidR="006A0C9E" w:rsidRPr="0004134A" w:rsidRDefault="006A0C9E"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autres séances sont prévues au cours du premier semestre 2024</w:t>
            </w:r>
          </w:p>
        </w:tc>
      </w:tr>
      <w:tr w:rsidR="00660F55" w:rsidRPr="00911768" w14:paraId="5E226708" w14:textId="77777777" w:rsidTr="005C3BA7">
        <w:trPr>
          <w:trHeight w:val="1687"/>
        </w:trPr>
        <w:tc>
          <w:tcPr>
            <w:tcW w:w="3545" w:type="dxa"/>
            <w:tcBorders>
              <w:top w:val="nil"/>
              <w:left w:val="single" w:sz="4" w:space="0" w:color="auto"/>
              <w:bottom w:val="single" w:sz="4" w:space="0" w:color="auto"/>
              <w:right w:val="single" w:sz="4" w:space="0" w:color="auto"/>
            </w:tcBorders>
            <w:shd w:val="clear" w:color="auto" w:fill="auto"/>
            <w:hideMark/>
          </w:tcPr>
          <w:p w14:paraId="3C61A060"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1.1. A1.3.1 Plaidoyer en faveur de l'intégration de la dimension genre au sein des partis politiques et pour une meilleure participation de la femme dans les réformes politiques et électorales en vue des élections de 2025-2027</w:t>
            </w:r>
          </w:p>
        </w:tc>
        <w:tc>
          <w:tcPr>
            <w:tcW w:w="2551" w:type="dxa"/>
            <w:tcBorders>
              <w:top w:val="nil"/>
              <w:left w:val="nil"/>
              <w:bottom w:val="single" w:sz="4" w:space="0" w:color="auto"/>
              <w:right w:val="single" w:sz="4" w:space="0" w:color="auto"/>
            </w:tcBorders>
            <w:shd w:val="clear" w:color="auto" w:fill="auto"/>
            <w:hideMark/>
          </w:tcPr>
          <w:p w14:paraId="0852462A" w14:textId="77777777"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Mener une étude comparative de la prise en compte du genre dans la législation de 2015 et l’actuelle (2020) sur le niveau de participation des femmes et filles dans les postes de prise de décisions.</w:t>
            </w:r>
          </w:p>
        </w:tc>
        <w:tc>
          <w:tcPr>
            <w:tcW w:w="3827" w:type="dxa"/>
            <w:tcBorders>
              <w:top w:val="nil"/>
              <w:left w:val="nil"/>
              <w:bottom w:val="single" w:sz="4" w:space="0" w:color="auto"/>
              <w:right w:val="single" w:sz="4" w:space="0" w:color="auto"/>
            </w:tcBorders>
            <w:shd w:val="clear" w:color="auto" w:fill="auto"/>
            <w:hideMark/>
          </w:tcPr>
          <w:p w14:paraId="1668613E" w14:textId="2BD04726" w:rsidR="005C3BA7" w:rsidRPr="0004134A" w:rsidRDefault="00CC29CC"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Les </w:t>
            </w:r>
            <w:r w:rsidR="00466EE3" w:rsidRPr="0004134A">
              <w:rPr>
                <w:rFonts w:ascii="Times New Roman" w:eastAsia="Times New Roman" w:hAnsi="Times New Roman" w:cs="Times New Roman"/>
                <w:color w:val="000000"/>
                <w:lang w:val="fr-FR"/>
              </w:rPr>
              <w:t>résultats de l’étude ont mis en exergue le niveau de la participation de</w:t>
            </w:r>
            <w:r w:rsidR="005C3BA7" w:rsidRPr="0004134A">
              <w:rPr>
                <w:rFonts w:ascii="Times New Roman" w:eastAsia="Times New Roman" w:hAnsi="Times New Roman" w:cs="Times New Roman"/>
                <w:color w:val="000000"/>
                <w:lang w:val="fr-FR"/>
              </w:rPr>
              <w:t>s femmes et filles dans les postes de prise de décision</w:t>
            </w:r>
          </w:p>
          <w:p w14:paraId="575A7114" w14:textId="70464B8D" w:rsidR="00CC29CC" w:rsidRPr="0004134A" w:rsidRDefault="005C3BA7"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Les données </w:t>
            </w:r>
            <w:proofErr w:type="spellStart"/>
            <w:r w:rsidRPr="0004134A">
              <w:rPr>
                <w:rFonts w:ascii="Times New Roman" w:eastAsia="Times New Roman" w:hAnsi="Times New Roman" w:cs="Times New Roman"/>
                <w:color w:val="000000"/>
                <w:lang w:val="fr-FR"/>
              </w:rPr>
              <w:t>collectées</w:t>
            </w:r>
            <w:r w:rsidR="00466EE3" w:rsidRPr="0004134A">
              <w:rPr>
                <w:rFonts w:ascii="Times New Roman" w:eastAsia="Times New Roman" w:hAnsi="Times New Roman" w:cs="Times New Roman"/>
                <w:color w:val="000000"/>
                <w:lang w:val="fr-FR"/>
              </w:rPr>
              <w:t>ont</w:t>
            </w:r>
            <w:proofErr w:type="spellEnd"/>
            <w:r w:rsidR="00466EE3" w:rsidRPr="0004134A">
              <w:rPr>
                <w:rFonts w:ascii="Times New Roman" w:eastAsia="Times New Roman" w:hAnsi="Times New Roman" w:cs="Times New Roman"/>
                <w:color w:val="000000"/>
                <w:lang w:val="fr-FR"/>
              </w:rPr>
              <w:t xml:space="preserve"> servi </w:t>
            </w:r>
            <w:r w:rsidR="00CC29CC" w:rsidRPr="0004134A">
              <w:rPr>
                <w:rFonts w:ascii="Times New Roman" w:eastAsia="Times New Roman" w:hAnsi="Times New Roman" w:cs="Times New Roman"/>
                <w:color w:val="000000"/>
                <w:lang w:val="fr-FR"/>
              </w:rPr>
              <w:t>de référence et de base pour le plaidoyer en faveur la participation politique des femmes aux élections et la prise en compte du genre dans les instances de prise de décision</w:t>
            </w:r>
          </w:p>
        </w:tc>
        <w:tc>
          <w:tcPr>
            <w:tcW w:w="2127" w:type="dxa"/>
            <w:tcBorders>
              <w:top w:val="nil"/>
              <w:left w:val="nil"/>
              <w:bottom w:val="single" w:sz="4" w:space="0" w:color="auto"/>
              <w:right w:val="single" w:sz="4" w:space="0" w:color="auto"/>
            </w:tcBorders>
            <w:shd w:val="clear" w:color="auto" w:fill="auto"/>
            <w:hideMark/>
          </w:tcPr>
          <w:p w14:paraId="43B0F278"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Rapport d'étude assorti de données qualitatives et qualitatives</w:t>
            </w:r>
          </w:p>
        </w:tc>
        <w:tc>
          <w:tcPr>
            <w:tcW w:w="3118" w:type="dxa"/>
            <w:tcBorders>
              <w:top w:val="nil"/>
              <w:left w:val="nil"/>
              <w:bottom w:val="single" w:sz="4" w:space="0" w:color="auto"/>
              <w:right w:val="single" w:sz="4" w:space="0" w:color="auto"/>
            </w:tcBorders>
            <w:shd w:val="clear" w:color="auto" w:fill="auto"/>
            <w:hideMark/>
          </w:tcPr>
          <w:p w14:paraId="69C809B1"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L'étude a débuté au cours du mois de décembre 2023 et s'est poursuivi en janvier 2024</w:t>
            </w:r>
            <w:r w:rsidR="006A0C9E" w:rsidRPr="0004134A">
              <w:rPr>
                <w:rFonts w:ascii="Times New Roman" w:eastAsia="Times New Roman" w:hAnsi="Times New Roman" w:cs="Times New Roman"/>
                <w:color w:val="000000"/>
                <w:lang w:val="fr-FR"/>
              </w:rPr>
              <w:t>.</w:t>
            </w:r>
          </w:p>
          <w:p w14:paraId="7652B624" w14:textId="3A0BBD3F" w:rsidR="006A0C9E" w:rsidRPr="0004134A" w:rsidRDefault="006A0C9E"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actions de plaidoyer pour 2024 se fondent les aboutissements de cette étude</w:t>
            </w:r>
          </w:p>
        </w:tc>
      </w:tr>
      <w:tr w:rsidR="00660F55" w:rsidRPr="00911768" w14:paraId="4B81E5EF" w14:textId="77777777" w:rsidTr="005C3BA7">
        <w:trPr>
          <w:trHeight w:val="1664"/>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8D783BB" w14:textId="77777777"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A2.3.4.b. « plaidoyer pour changer certains articles du code électoral et de la loi portant réorganisation de l’administration communale non favorables à la transparence électorale, aux élections démocratiques crédibles et à la participation des jeunes et des femmes »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2EE5975E" w14:textId="77777777"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Faire une lecture analytique du draft de code électoral et de la loi portant réorganisation de l’administration communale et proposer des d'amendements à y apporter</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A1E0223" w14:textId="1E38B998" w:rsidR="005C3BA7" w:rsidRPr="0004134A" w:rsidRDefault="005C3BA7"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lacunes et les insuffisances ont été identifiées dans le draft du code électoral et de la loi communale</w:t>
            </w:r>
          </w:p>
          <w:p w14:paraId="5005AB93" w14:textId="53CD5CC1" w:rsidR="005C3BA7" w:rsidRPr="0004134A" w:rsidRDefault="005C3BA7" w:rsidP="00602A9A">
            <w:pPr>
              <w:spacing w:after="0" w:line="240" w:lineRule="auto"/>
              <w:rPr>
                <w:rFonts w:ascii="Times New Roman" w:eastAsia="Times New Roman" w:hAnsi="Times New Roman" w:cs="Times New Roman"/>
                <w:color w:val="000000"/>
                <w:lang w:val="fr-FR"/>
              </w:rPr>
            </w:pPr>
          </w:p>
          <w:p w14:paraId="38ECC358" w14:textId="086C2DC3" w:rsidR="00CC29CC" w:rsidRPr="0004134A" w:rsidRDefault="005C3BA7"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 xml:space="preserve">Les </w:t>
            </w:r>
            <w:r w:rsidR="00CC29CC" w:rsidRPr="0004134A">
              <w:rPr>
                <w:rFonts w:ascii="Times New Roman" w:eastAsia="Times New Roman" w:hAnsi="Times New Roman" w:cs="Times New Roman"/>
                <w:color w:val="000000"/>
                <w:lang w:val="fr-FR"/>
              </w:rPr>
              <w:t xml:space="preserve">amendements et innovations </w:t>
            </w:r>
            <w:r w:rsidRPr="0004134A">
              <w:rPr>
                <w:rFonts w:ascii="Times New Roman" w:eastAsia="Times New Roman" w:hAnsi="Times New Roman" w:cs="Times New Roman"/>
                <w:color w:val="000000"/>
                <w:lang w:val="fr-FR"/>
              </w:rPr>
              <w:t>ont été proposés</w:t>
            </w:r>
            <w:r w:rsidR="00CC29CC" w:rsidRPr="0004134A">
              <w:rPr>
                <w:rFonts w:ascii="Times New Roman" w:eastAsia="Times New Roman" w:hAnsi="Times New Roman" w:cs="Times New Roman"/>
                <w:color w:val="000000"/>
                <w:lang w:val="fr-FR"/>
              </w:rPr>
              <w:t xml:space="preserve"> dans le cadre du plaidoyer en faveur de la participation des femmes et des jeunes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E0EEAC5"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Nombre d'articles proposés pour amendement ou innovation</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CB6553A"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La relecture a été effectuée et des propositions d'amendements formulées.</w:t>
            </w:r>
          </w:p>
          <w:p w14:paraId="4D5185AC" w14:textId="49064F97" w:rsidR="006A0C9E" w:rsidRPr="0004134A" w:rsidRDefault="006A0C9E"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 plaidoyer est en cours sur toute la chaine législative, et les résultats seront rapportés prochainement</w:t>
            </w:r>
          </w:p>
        </w:tc>
      </w:tr>
      <w:tr w:rsidR="00660F55" w:rsidRPr="00911768" w14:paraId="0F63F1E0" w14:textId="77777777" w:rsidTr="005C3BA7">
        <w:trPr>
          <w:trHeight w:val="1734"/>
        </w:trPr>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15EE27B" w14:textId="1EC817D4" w:rsidR="00CC29CC" w:rsidRPr="0004134A" w:rsidRDefault="00CC29CC" w:rsidP="00660F55">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lastRenderedPageBreak/>
              <w:t xml:space="preserve">A2.3.1 </w:t>
            </w:r>
            <w:r w:rsidR="006A0C9E" w:rsidRPr="0004134A">
              <w:rPr>
                <w:rFonts w:ascii="Times New Roman" w:eastAsia="Times New Roman" w:hAnsi="Times New Roman" w:cs="Times New Roman"/>
                <w:color w:val="000000"/>
                <w:lang w:val="fr-FR"/>
              </w:rPr>
              <w:t xml:space="preserve">Plaidoyer </w:t>
            </w:r>
            <w:r w:rsidRPr="0004134A">
              <w:rPr>
                <w:rFonts w:ascii="Times New Roman" w:eastAsia="Times New Roman" w:hAnsi="Times New Roman" w:cs="Times New Roman"/>
                <w:color w:val="000000"/>
                <w:lang w:val="fr-FR"/>
              </w:rPr>
              <w:t xml:space="preserve">pour sensibiliser les décideurs et les partis politiques pour améliorer le positionnement des jeunes en vue de leur participation comme candidats pendant les élections de 2025-2027 </w:t>
            </w:r>
          </w:p>
        </w:tc>
        <w:tc>
          <w:tcPr>
            <w:tcW w:w="2551" w:type="dxa"/>
            <w:tcBorders>
              <w:top w:val="single" w:sz="4" w:space="0" w:color="auto"/>
              <w:left w:val="nil"/>
              <w:bottom w:val="single" w:sz="4" w:space="0" w:color="auto"/>
              <w:right w:val="single" w:sz="4" w:space="0" w:color="auto"/>
            </w:tcBorders>
            <w:shd w:val="clear" w:color="auto" w:fill="auto"/>
            <w:hideMark/>
          </w:tcPr>
          <w:p w14:paraId="40236EA9" w14:textId="77777777" w:rsidR="00CC29CC" w:rsidRPr="0004134A" w:rsidRDefault="00CC29CC" w:rsidP="00CC1B00">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Collecte de données sur l'état des lieux de la participation des jeunes aux instances de décision</w:t>
            </w:r>
          </w:p>
        </w:tc>
        <w:tc>
          <w:tcPr>
            <w:tcW w:w="3827" w:type="dxa"/>
            <w:tcBorders>
              <w:top w:val="single" w:sz="4" w:space="0" w:color="auto"/>
              <w:left w:val="nil"/>
              <w:bottom w:val="single" w:sz="4" w:space="0" w:color="auto"/>
              <w:right w:val="single" w:sz="4" w:space="0" w:color="auto"/>
            </w:tcBorders>
            <w:shd w:val="clear" w:color="auto" w:fill="auto"/>
            <w:hideMark/>
          </w:tcPr>
          <w:p w14:paraId="7245EA1C" w14:textId="67F9263E" w:rsidR="005C3BA7" w:rsidRPr="0004134A" w:rsidRDefault="005C3BA7"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 niveau de participation des jeunes aux instances décisionnelles a été élucidé</w:t>
            </w:r>
          </w:p>
          <w:p w14:paraId="2A592B67" w14:textId="123E1204" w:rsidR="00CC29CC" w:rsidRPr="0004134A" w:rsidRDefault="00CC29CC" w:rsidP="00602A9A">
            <w:pPr>
              <w:spacing w:after="0" w:line="240" w:lineRule="auto"/>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données récoltées servent de référence et de base pour le plaidoyer en faveur la participation des jeunes comme artisans de la paix, comme électeurs et comme candidats</w:t>
            </w:r>
          </w:p>
        </w:tc>
        <w:tc>
          <w:tcPr>
            <w:tcW w:w="2127" w:type="dxa"/>
            <w:tcBorders>
              <w:top w:val="single" w:sz="4" w:space="0" w:color="auto"/>
              <w:left w:val="nil"/>
              <w:bottom w:val="single" w:sz="4" w:space="0" w:color="auto"/>
              <w:right w:val="single" w:sz="4" w:space="0" w:color="auto"/>
            </w:tcBorders>
            <w:shd w:val="clear" w:color="auto" w:fill="auto"/>
            <w:hideMark/>
          </w:tcPr>
          <w:p w14:paraId="39E2D85F" w14:textId="77777777" w:rsidR="00CC29CC" w:rsidRPr="0004134A" w:rsidRDefault="00CC29CC" w:rsidP="00CC29CC">
            <w:pPr>
              <w:spacing w:after="0" w:line="240" w:lineRule="auto"/>
              <w:jc w:val="both"/>
              <w:rPr>
                <w:rFonts w:ascii="Times New Roman" w:eastAsia="Times New Roman" w:hAnsi="Times New Roman" w:cs="Times New Roman"/>
                <w:color w:val="000000"/>
              </w:rPr>
            </w:pPr>
            <w:r w:rsidRPr="0004134A">
              <w:rPr>
                <w:rFonts w:ascii="Times New Roman" w:eastAsia="Times New Roman" w:hAnsi="Times New Roman" w:cs="Times New Roman"/>
                <w:color w:val="000000"/>
              </w:rPr>
              <w:t xml:space="preserve">Rapport </w:t>
            </w:r>
            <w:proofErr w:type="spellStart"/>
            <w:r w:rsidRPr="0004134A">
              <w:rPr>
                <w:rFonts w:ascii="Times New Roman" w:eastAsia="Times New Roman" w:hAnsi="Times New Roman" w:cs="Times New Roman"/>
                <w:color w:val="000000"/>
              </w:rPr>
              <w:t>d'étude</w:t>
            </w:r>
            <w:proofErr w:type="spellEnd"/>
            <w:r w:rsidRPr="0004134A">
              <w:rPr>
                <w:rFonts w:ascii="Times New Roman" w:eastAsia="Times New Roman" w:hAnsi="Times New Roman" w:cs="Times New Roman"/>
                <w:color w:val="000000"/>
              </w:rPr>
              <w:t xml:space="preserve"> </w:t>
            </w:r>
            <w:proofErr w:type="spellStart"/>
            <w:r w:rsidRPr="0004134A">
              <w:rPr>
                <w:rFonts w:ascii="Times New Roman" w:eastAsia="Times New Roman" w:hAnsi="Times New Roman" w:cs="Times New Roman"/>
                <w:color w:val="000000"/>
              </w:rPr>
              <w:t>produit</w:t>
            </w:r>
            <w:proofErr w:type="spellEnd"/>
          </w:p>
        </w:tc>
        <w:tc>
          <w:tcPr>
            <w:tcW w:w="3118" w:type="dxa"/>
            <w:tcBorders>
              <w:top w:val="single" w:sz="4" w:space="0" w:color="auto"/>
              <w:left w:val="nil"/>
              <w:bottom w:val="single" w:sz="4" w:space="0" w:color="auto"/>
              <w:right w:val="single" w:sz="4" w:space="0" w:color="auto"/>
            </w:tcBorders>
            <w:shd w:val="clear" w:color="auto" w:fill="auto"/>
            <w:hideMark/>
          </w:tcPr>
          <w:p w14:paraId="6A87F8BE" w14:textId="77777777" w:rsidR="00CC29CC" w:rsidRPr="0004134A" w:rsidRDefault="00CC29CC"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L'étude a débuté au cours du mois de décembre 2023 et s'est poursuivi en janvier 2024</w:t>
            </w:r>
          </w:p>
          <w:p w14:paraId="4E939911" w14:textId="49F5EC49" w:rsidR="006A0C9E" w:rsidRPr="0004134A" w:rsidRDefault="006A0C9E" w:rsidP="00CC29CC">
            <w:pPr>
              <w:spacing w:after="0" w:line="240" w:lineRule="auto"/>
              <w:jc w:val="both"/>
              <w:rPr>
                <w:rFonts w:ascii="Times New Roman" w:eastAsia="Times New Roman" w:hAnsi="Times New Roman" w:cs="Times New Roman"/>
                <w:color w:val="000000"/>
                <w:lang w:val="fr-FR"/>
              </w:rPr>
            </w:pPr>
            <w:r w:rsidRPr="0004134A">
              <w:rPr>
                <w:rFonts w:ascii="Times New Roman" w:eastAsia="Times New Roman" w:hAnsi="Times New Roman" w:cs="Times New Roman"/>
                <w:color w:val="000000"/>
                <w:lang w:val="fr-FR"/>
              </w:rPr>
              <w:t>Les actions de plaidoyer pour 2024 se fondent sur les aboutissements de cette étude</w:t>
            </w:r>
          </w:p>
        </w:tc>
      </w:tr>
    </w:tbl>
    <w:p w14:paraId="7138AC5D" w14:textId="26395C41" w:rsidR="00CC29CC" w:rsidRPr="0004134A" w:rsidRDefault="00CC29CC" w:rsidP="008F7891">
      <w:pPr>
        <w:pStyle w:val="ListParagraph"/>
        <w:rPr>
          <w:rFonts w:ascii="Times New Roman" w:hAnsi="Times New Roman" w:cs="Times New Roman"/>
          <w:b/>
          <w:lang w:val="fr-FR"/>
        </w:rPr>
      </w:pPr>
    </w:p>
    <w:p w14:paraId="0194F5D2" w14:textId="77777777" w:rsidR="00CC29CC" w:rsidRPr="0004134A" w:rsidRDefault="00CC29CC" w:rsidP="008F7891">
      <w:pPr>
        <w:pStyle w:val="ListParagraph"/>
        <w:rPr>
          <w:rFonts w:ascii="Times New Roman" w:hAnsi="Times New Roman" w:cs="Times New Roman"/>
          <w:b/>
          <w:lang w:val="fr-FR"/>
        </w:rPr>
      </w:pPr>
    </w:p>
    <w:p w14:paraId="6E585BDC" w14:textId="4EC908C6" w:rsidR="00436B16" w:rsidRPr="0004134A" w:rsidRDefault="00436B16" w:rsidP="00321B7B">
      <w:pPr>
        <w:pStyle w:val="ListParagraph"/>
        <w:rPr>
          <w:rFonts w:ascii="Times New Roman" w:hAnsi="Times New Roman" w:cs="Times New Roman"/>
          <w:b/>
          <w:lang w:val="fr-FR"/>
        </w:rPr>
      </w:pPr>
    </w:p>
    <w:p w14:paraId="11626588" w14:textId="2E76F758" w:rsidR="00436B16" w:rsidRPr="0004134A" w:rsidRDefault="00436B16" w:rsidP="00321B7B">
      <w:pPr>
        <w:pStyle w:val="ListParagraph"/>
        <w:rPr>
          <w:rFonts w:ascii="Times New Roman" w:hAnsi="Times New Roman" w:cs="Times New Roman"/>
          <w:b/>
          <w:lang w:val="fr-FR"/>
        </w:rPr>
      </w:pPr>
    </w:p>
    <w:p w14:paraId="24FBB97F" w14:textId="6807FE66" w:rsidR="00436B16" w:rsidRPr="0004134A" w:rsidRDefault="00436B16" w:rsidP="00321B7B">
      <w:pPr>
        <w:pStyle w:val="ListParagraph"/>
        <w:rPr>
          <w:rFonts w:ascii="Times New Roman" w:hAnsi="Times New Roman" w:cs="Times New Roman"/>
          <w:b/>
          <w:lang w:val="fr-FR"/>
        </w:rPr>
      </w:pPr>
    </w:p>
    <w:p w14:paraId="15B770EA" w14:textId="39737D07" w:rsidR="00436B16" w:rsidRPr="0004134A" w:rsidRDefault="00436B16" w:rsidP="00321B7B">
      <w:pPr>
        <w:pStyle w:val="ListParagraph"/>
        <w:rPr>
          <w:rFonts w:ascii="Times New Roman" w:hAnsi="Times New Roman" w:cs="Times New Roman"/>
          <w:b/>
          <w:lang w:val="fr-FR"/>
        </w:rPr>
      </w:pPr>
    </w:p>
    <w:p w14:paraId="1E903BFA" w14:textId="1E59B5C5" w:rsidR="00436B16" w:rsidRPr="0004134A" w:rsidRDefault="00436B16" w:rsidP="008F7891">
      <w:pPr>
        <w:pStyle w:val="ListParagraph"/>
        <w:rPr>
          <w:rFonts w:ascii="Times New Roman" w:hAnsi="Times New Roman" w:cs="Times New Roman"/>
          <w:b/>
          <w:lang w:val="fr-FR"/>
        </w:rPr>
      </w:pPr>
    </w:p>
    <w:p w14:paraId="5C9433FF" w14:textId="77777777" w:rsidR="00436B16" w:rsidRPr="0004134A" w:rsidRDefault="00436B16" w:rsidP="008F7891">
      <w:pPr>
        <w:pStyle w:val="ListParagraph"/>
        <w:rPr>
          <w:rFonts w:ascii="Times New Roman" w:hAnsi="Times New Roman" w:cs="Times New Roman"/>
          <w:b/>
          <w:sz w:val="24"/>
          <w:szCs w:val="24"/>
          <w:lang w:val="fr-FR"/>
        </w:rPr>
        <w:sectPr w:rsidR="00436B16" w:rsidRPr="0004134A" w:rsidSect="00436B16">
          <w:pgSz w:w="15840" w:h="12240" w:orient="landscape"/>
          <w:pgMar w:top="720" w:right="720" w:bottom="720" w:left="720" w:header="720" w:footer="720" w:gutter="0"/>
          <w:cols w:space="720"/>
          <w:docGrid w:linePitch="360"/>
        </w:sectPr>
      </w:pPr>
    </w:p>
    <w:p w14:paraId="729F1922" w14:textId="77777777" w:rsidR="00436B16" w:rsidRPr="0004134A" w:rsidRDefault="00436B16" w:rsidP="008F7891">
      <w:pPr>
        <w:pStyle w:val="ListParagraph"/>
        <w:rPr>
          <w:rFonts w:ascii="Times New Roman" w:hAnsi="Times New Roman" w:cs="Times New Roman"/>
          <w:b/>
          <w:sz w:val="24"/>
          <w:szCs w:val="24"/>
          <w:lang w:val="fr-FR"/>
        </w:rPr>
      </w:pPr>
    </w:p>
    <w:p w14:paraId="183F2F18" w14:textId="409A9E85" w:rsidR="008F7891" w:rsidRPr="0004134A" w:rsidRDefault="008F7891" w:rsidP="008F7891">
      <w:pPr>
        <w:pStyle w:val="ListParagraph"/>
        <w:numPr>
          <w:ilvl w:val="1"/>
          <w:numId w:val="39"/>
        </w:numPr>
        <w:spacing w:after="0" w:line="240" w:lineRule="auto"/>
        <w:rPr>
          <w:rFonts w:ascii="Times New Roman" w:hAnsi="Times New Roman" w:cs="Times New Roman"/>
          <w:b/>
          <w:sz w:val="24"/>
          <w:szCs w:val="24"/>
          <w:lang w:val="fr-FR"/>
        </w:rPr>
      </w:pPr>
      <w:r w:rsidRPr="0004134A">
        <w:rPr>
          <w:rFonts w:ascii="Times New Roman" w:hAnsi="Times New Roman" w:cs="Times New Roman"/>
          <w:bCs/>
          <w:sz w:val="24"/>
          <w:szCs w:val="24"/>
          <w:lang w:val="fr-FR"/>
        </w:rPr>
        <w:t>Description détaillée des réalisations</w:t>
      </w:r>
      <w:r w:rsidRPr="0004134A">
        <w:rPr>
          <w:rFonts w:ascii="Times New Roman" w:hAnsi="Times New Roman" w:cs="Times New Roman"/>
          <w:b/>
          <w:sz w:val="24"/>
          <w:szCs w:val="24"/>
          <w:lang w:val="fr-FR"/>
        </w:rPr>
        <w:t xml:space="preserve"> </w:t>
      </w:r>
      <w:r w:rsidRPr="0004134A">
        <w:rPr>
          <w:rFonts w:ascii="Times New Roman" w:hAnsi="Times New Roman" w:cs="Times New Roman"/>
          <w:bCs/>
          <w:sz w:val="24"/>
          <w:szCs w:val="24"/>
          <w:lang w:val="fr-FR"/>
        </w:rPr>
        <w:t>(</w:t>
      </w:r>
      <w:r w:rsidRPr="0004134A">
        <w:rPr>
          <w:rFonts w:ascii="Times New Roman" w:hAnsi="Times New Roman" w:cs="Times New Roman"/>
          <w:bCs/>
          <w:i/>
          <w:iCs/>
          <w:sz w:val="24"/>
          <w:szCs w:val="24"/>
          <w:lang w:val="fr-FR"/>
        </w:rPr>
        <w:t>décrire les activités/sous-activités qui ont été réalisées, la méthodologie de mise en œuvre, les parties prenantes, les participants ainsi que les résultats que ces activités ont permis d’atteindre,) </w:t>
      </w:r>
      <w:r w:rsidRPr="0004134A">
        <w:rPr>
          <w:rFonts w:ascii="Times New Roman" w:hAnsi="Times New Roman" w:cs="Times New Roman"/>
          <w:bCs/>
          <w:sz w:val="24"/>
          <w:szCs w:val="24"/>
          <w:lang w:val="fr-FR"/>
        </w:rPr>
        <w:t>: Réalisations en termes quantitatifs et qualitatifs + indicateurs. Expliquer les déviations par rapport aux attentes et les explique, s’il y a lieu</w:t>
      </w:r>
    </w:p>
    <w:p w14:paraId="08146035" w14:textId="77777777" w:rsidR="00AE74A8" w:rsidRPr="0004134A" w:rsidRDefault="00AE74A8" w:rsidP="00D53074">
      <w:pPr>
        <w:pStyle w:val="ListParagraph"/>
        <w:spacing w:after="0"/>
        <w:jc w:val="both"/>
        <w:rPr>
          <w:rFonts w:ascii="Times New Roman" w:hAnsi="Times New Roman" w:cs="Times New Roman"/>
          <w:b/>
          <w:sz w:val="24"/>
          <w:szCs w:val="24"/>
          <w:lang w:val="fr-FR"/>
        </w:rPr>
      </w:pPr>
    </w:p>
    <w:p w14:paraId="6C5A4725" w14:textId="5ED49557" w:rsidR="00B30D2E" w:rsidRPr="0004134A" w:rsidRDefault="00281666" w:rsidP="00D53074">
      <w:p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3.</w:t>
      </w:r>
      <w:r w:rsidR="008F7891" w:rsidRPr="0004134A">
        <w:rPr>
          <w:rFonts w:ascii="Times New Roman" w:hAnsi="Times New Roman" w:cs="Times New Roman"/>
          <w:b/>
          <w:sz w:val="24"/>
          <w:szCs w:val="24"/>
          <w:lang w:val="fr-FR"/>
        </w:rPr>
        <w:t>2.</w:t>
      </w:r>
      <w:r w:rsidRPr="0004134A">
        <w:rPr>
          <w:rFonts w:ascii="Times New Roman" w:hAnsi="Times New Roman" w:cs="Times New Roman"/>
          <w:b/>
          <w:sz w:val="24"/>
          <w:szCs w:val="24"/>
          <w:lang w:val="fr-FR"/>
        </w:rPr>
        <w:t xml:space="preserve">1. </w:t>
      </w:r>
      <w:r w:rsidR="00AE74A8" w:rsidRPr="0004134A">
        <w:rPr>
          <w:rFonts w:ascii="Times New Roman" w:hAnsi="Times New Roman" w:cs="Times New Roman"/>
          <w:b/>
          <w:sz w:val="24"/>
          <w:szCs w:val="24"/>
          <w:lang w:val="fr-FR"/>
        </w:rPr>
        <w:t>Activités préliminaires</w:t>
      </w:r>
    </w:p>
    <w:p w14:paraId="1E0AE937" w14:textId="25B71970" w:rsidR="009457CE" w:rsidRPr="0004134A" w:rsidRDefault="009457CE" w:rsidP="00D53074">
      <w:pPr>
        <w:spacing w:after="0"/>
        <w:jc w:val="both"/>
        <w:rPr>
          <w:rFonts w:ascii="Times New Roman" w:hAnsi="Times New Roman" w:cs="Times New Roman"/>
          <w:bCs/>
          <w:sz w:val="24"/>
          <w:szCs w:val="24"/>
          <w:lang w:val="fr-FR"/>
        </w:rPr>
      </w:pPr>
    </w:p>
    <w:p w14:paraId="7C5799DA" w14:textId="7B96E174" w:rsidR="009233F4" w:rsidRPr="0004134A" w:rsidRDefault="009233F4" w:rsidP="00D53074">
      <w:p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 démarrage des activités proprement dites du projet nécessite un certain nombre d’actions, qui consomment autant de temps que de moyens, et sans lesquelles la mise en œuvre du projet ne pourrait être envisagée. Nous citerons, pour le cas présent, les actions ou étapes ci-après :</w:t>
      </w:r>
    </w:p>
    <w:p w14:paraId="797ADFAA" w14:textId="77777777" w:rsidR="009233F4" w:rsidRPr="0004134A" w:rsidRDefault="009233F4" w:rsidP="00D53074">
      <w:pPr>
        <w:spacing w:after="0"/>
        <w:jc w:val="both"/>
        <w:rPr>
          <w:rFonts w:ascii="Times New Roman" w:hAnsi="Times New Roman" w:cs="Times New Roman"/>
          <w:bCs/>
          <w:sz w:val="24"/>
          <w:szCs w:val="24"/>
          <w:lang w:val="fr-FR"/>
        </w:rPr>
      </w:pPr>
    </w:p>
    <w:p w14:paraId="583279A5" w14:textId="673C2D72" w:rsidR="00AE74A8" w:rsidRPr="0004134A" w:rsidRDefault="00AE74A8" w:rsidP="00D53074">
      <w:pPr>
        <w:pStyle w:val="ListParagraph"/>
        <w:numPr>
          <w:ilvl w:val="0"/>
          <w:numId w:val="26"/>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Processus de recrutement et d’installation</w:t>
      </w:r>
      <w:r w:rsidR="00142F26" w:rsidRPr="0004134A">
        <w:rPr>
          <w:rFonts w:ascii="Times New Roman" w:hAnsi="Times New Roman" w:cs="Times New Roman"/>
          <w:b/>
          <w:sz w:val="24"/>
          <w:szCs w:val="24"/>
          <w:lang w:val="fr-FR"/>
        </w:rPr>
        <w:t> :</w:t>
      </w:r>
      <w:r w:rsidR="00103BCE" w:rsidRPr="0004134A">
        <w:rPr>
          <w:rFonts w:ascii="Times New Roman" w:hAnsi="Times New Roman" w:cs="Times New Roman"/>
          <w:bCs/>
          <w:sz w:val="24"/>
          <w:szCs w:val="24"/>
          <w:lang w:val="fr-FR"/>
        </w:rPr>
        <w:t xml:space="preserve"> La signature du contrat a été suivie du recrutement du Directeur Pays au mois d’avril 2023, la location </w:t>
      </w:r>
      <w:r w:rsidR="0006133F" w:rsidRPr="0004134A">
        <w:rPr>
          <w:rFonts w:ascii="Times New Roman" w:hAnsi="Times New Roman" w:cs="Times New Roman"/>
          <w:bCs/>
          <w:sz w:val="24"/>
          <w:szCs w:val="24"/>
          <w:lang w:val="fr-FR"/>
        </w:rPr>
        <w:t xml:space="preserve">et équipement </w:t>
      </w:r>
      <w:r w:rsidR="00103BCE" w:rsidRPr="0004134A">
        <w:rPr>
          <w:rFonts w:ascii="Times New Roman" w:hAnsi="Times New Roman" w:cs="Times New Roman"/>
          <w:bCs/>
          <w:sz w:val="24"/>
          <w:szCs w:val="24"/>
          <w:lang w:val="fr-FR"/>
        </w:rPr>
        <w:t>du bureau national à partir du </w:t>
      </w:r>
      <w:r w:rsidR="0053298D" w:rsidRPr="0004134A">
        <w:rPr>
          <w:rFonts w:ascii="Times New Roman" w:hAnsi="Times New Roman" w:cs="Times New Roman"/>
          <w:bCs/>
          <w:sz w:val="24"/>
          <w:szCs w:val="24"/>
          <w:lang w:val="fr-FR"/>
        </w:rPr>
        <w:t>mois de mai 2023</w:t>
      </w:r>
      <w:r w:rsidR="00103BCE" w:rsidRPr="0004134A">
        <w:rPr>
          <w:rFonts w:ascii="Times New Roman" w:hAnsi="Times New Roman" w:cs="Times New Roman"/>
          <w:bCs/>
          <w:sz w:val="24"/>
          <w:szCs w:val="24"/>
          <w:lang w:val="fr-FR"/>
        </w:rPr>
        <w:t xml:space="preserve"> </w:t>
      </w:r>
      <w:r w:rsidR="00F10D5E" w:rsidRPr="0004134A">
        <w:rPr>
          <w:rFonts w:ascii="Times New Roman" w:hAnsi="Times New Roman" w:cs="Times New Roman"/>
          <w:bCs/>
          <w:sz w:val="24"/>
          <w:szCs w:val="24"/>
          <w:lang w:val="fr-FR"/>
        </w:rPr>
        <w:t>e</w:t>
      </w:r>
      <w:r w:rsidR="00103BCE" w:rsidRPr="0004134A">
        <w:rPr>
          <w:rFonts w:ascii="Times New Roman" w:hAnsi="Times New Roman" w:cs="Times New Roman"/>
          <w:bCs/>
          <w:sz w:val="24"/>
          <w:szCs w:val="24"/>
          <w:lang w:val="fr-FR"/>
        </w:rPr>
        <w:t>t le recrutement du Responsable Administratif et Financier et du Responsable Programme, respectivement aux mois d’Aout et de septembre 2023</w:t>
      </w:r>
      <w:r w:rsidR="00142F26" w:rsidRPr="0004134A">
        <w:rPr>
          <w:rFonts w:ascii="Times New Roman" w:hAnsi="Times New Roman" w:cs="Times New Roman"/>
          <w:bCs/>
          <w:sz w:val="24"/>
          <w:szCs w:val="24"/>
          <w:lang w:val="fr-FR"/>
        </w:rPr>
        <w:t> ;</w:t>
      </w:r>
    </w:p>
    <w:p w14:paraId="1C9D7068" w14:textId="1669EF40" w:rsidR="00AE74A8" w:rsidRPr="0004134A" w:rsidRDefault="00AE74A8" w:rsidP="00D53074">
      <w:pPr>
        <w:pStyle w:val="ListParagraph"/>
        <w:numPr>
          <w:ilvl w:val="0"/>
          <w:numId w:val="26"/>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Processus d’agrément</w:t>
      </w:r>
      <w:r w:rsidR="002043FB">
        <w:rPr>
          <w:rFonts w:ascii="Times New Roman" w:hAnsi="Times New Roman" w:cs="Times New Roman"/>
          <w:b/>
          <w:sz w:val="24"/>
          <w:szCs w:val="24"/>
          <w:lang w:val="fr-FR"/>
        </w:rPr>
        <w:t xml:space="preserve"> et signature de la convention de </w:t>
      </w:r>
      <w:r w:rsidR="00F74696">
        <w:rPr>
          <w:rFonts w:ascii="Times New Roman" w:hAnsi="Times New Roman" w:cs="Times New Roman"/>
          <w:b/>
          <w:sz w:val="24"/>
          <w:szCs w:val="24"/>
          <w:lang w:val="fr-FR"/>
        </w:rPr>
        <w:t>coopération</w:t>
      </w:r>
      <w:r w:rsidR="002043FB">
        <w:rPr>
          <w:rFonts w:ascii="Times New Roman" w:hAnsi="Times New Roman" w:cs="Times New Roman"/>
          <w:b/>
          <w:sz w:val="24"/>
          <w:szCs w:val="24"/>
          <w:lang w:val="fr-FR"/>
        </w:rPr>
        <w:t xml:space="preserve"> </w:t>
      </w:r>
      <w:r w:rsidR="0006133F" w:rsidRPr="0004134A">
        <w:rPr>
          <w:rFonts w:ascii="Times New Roman" w:hAnsi="Times New Roman" w:cs="Times New Roman"/>
          <w:b/>
          <w:sz w:val="24"/>
          <w:szCs w:val="24"/>
          <w:lang w:val="fr-FR"/>
        </w:rPr>
        <w:t> :</w:t>
      </w:r>
      <w:r w:rsidR="0006133F" w:rsidRPr="0004134A">
        <w:rPr>
          <w:rFonts w:ascii="Times New Roman" w:hAnsi="Times New Roman" w:cs="Times New Roman"/>
          <w:bCs/>
          <w:sz w:val="24"/>
          <w:szCs w:val="24"/>
          <w:lang w:val="fr-FR"/>
        </w:rPr>
        <w:t xml:space="preserve"> Ce processus a démarré au mois de </w:t>
      </w:r>
      <w:r w:rsidR="00C068A5" w:rsidRPr="0004134A">
        <w:rPr>
          <w:rFonts w:ascii="Times New Roman" w:hAnsi="Times New Roman" w:cs="Times New Roman"/>
          <w:bCs/>
          <w:sz w:val="24"/>
          <w:szCs w:val="24"/>
          <w:lang w:val="fr-FR"/>
        </w:rPr>
        <w:t>juin 2023</w:t>
      </w:r>
      <w:r w:rsidR="0006133F" w:rsidRPr="0004134A">
        <w:rPr>
          <w:rFonts w:ascii="Times New Roman" w:hAnsi="Times New Roman" w:cs="Times New Roman"/>
          <w:bCs/>
          <w:sz w:val="24"/>
          <w:szCs w:val="24"/>
          <w:lang w:val="fr-FR"/>
        </w:rPr>
        <w:t xml:space="preserve"> par l’introduction du dossier de demande d’agrément aux services du ministère des Relations Extérieures et de la Coopération. Le processus </w:t>
      </w:r>
      <w:r w:rsidR="0068495D" w:rsidRPr="0004134A">
        <w:rPr>
          <w:rFonts w:ascii="Times New Roman" w:hAnsi="Times New Roman" w:cs="Times New Roman"/>
          <w:bCs/>
          <w:sz w:val="24"/>
          <w:szCs w:val="24"/>
          <w:lang w:val="fr-FR"/>
        </w:rPr>
        <w:t xml:space="preserve">a abouti </w:t>
      </w:r>
      <w:r w:rsidR="006A0C9E" w:rsidRPr="0004134A">
        <w:rPr>
          <w:rFonts w:ascii="Times New Roman" w:hAnsi="Times New Roman" w:cs="Times New Roman"/>
          <w:bCs/>
          <w:sz w:val="24"/>
          <w:szCs w:val="24"/>
          <w:lang w:val="fr-FR"/>
        </w:rPr>
        <w:t xml:space="preserve">un peu après cette période de rapportage (soit </w:t>
      </w:r>
      <w:r w:rsidR="0068495D" w:rsidRPr="0004134A">
        <w:rPr>
          <w:rFonts w:ascii="Times New Roman" w:hAnsi="Times New Roman" w:cs="Times New Roman"/>
          <w:bCs/>
          <w:sz w:val="24"/>
          <w:szCs w:val="24"/>
          <w:lang w:val="fr-FR"/>
        </w:rPr>
        <w:t>le 31/1/2024</w:t>
      </w:r>
      <w:r w:rsidR="006A0C9E" w:rsidRPr="0004134A">
        <w:rPr>
          <w:rFonts w:ascii="Times New Roman" w:hAnsi="Times New Roman" w:cs="Times New Roman"/>
          <w:bCs/>
          <w:sz w:val="24"/>
          <w:szCs w:val="24"/>
          <w:lang w:val="fr-FR"/>
        </w:rPr>
        <w:t>)</w:t>
      </w:r>
      <w:r w:rsidR="0068495D" w:rsidRPr="0004134A">
        <w:rPr>
          <w:rFonts w:ascii="Times New Roman" w:hAnsi="Times New Roman" w:cs="Times New Roman"/>
          <w:bCs/>
          <w:sz w:val="24"/>
          <w:szCs w:val="24"/>
          <w:lang w:val="fr-FR"/>
        </w:rPr>
        <w:t xml:space="preserve"> avec la signature de la convention de coopération entre le Gouvernement de la République </w:t>
      </w:r>
      <w:r w:rsidR="006A0C9E" w:rsidRPr="0004134A">
        <w:rPr>
          <w:rFonts w:ascii="Times New Roman" w:hAnsi="Times New Roman" w:cs="Times New Roman"/>
          <w:bCs/>
          <w:sz w:val="24"/>
          <w:szCs w:val="24"/>
          <w:lang w:val="fr-FR"/>
        </w:rPr>
        <w:t xml:space="preserve">du </w:t>
      </w:r>
      <w:r w:rsidR="0068495D" w:rsidRPr="0004134A">
        <w:rPr>
          <w:rFonts w:ascii="Times New Roman" w:hAnsi="Times New Roman" w:cs="Times New Roman"/>
          <w:bCs/>
          <w:sz w:val="24"/>
          <w:szCs w:val="24"/>
          <w:lang w:val="fr-FR"/>
        </w:rPr>
        <w:t xml:space="preserve">Burundi et NIMD ainsi que l’agrément de son Représentant Légal au Burundi. Les deux seront suivi par l’enregistrement de NIMD au Ministère de l’Intérieur, du Développement Communautaire et de la Sécurité Publique ainsi que l’approbation </w:t>
      </w:r>
      <w:r w:rsidR="00B879B2" w:rsidRPr="0004134A">
        <w:rPr>
          <w:rFonts w:ascii="Times New Roman" w:hAnsi="Times New Roman" w:cs="Times New Roman"/>
          <w:bCs/>
          <w:sz w:val="24"/>
          <w:szCs w:val="24"/>
          <w:lang w:val="fr-FR"/>
        </w:rPr>
        <w:t>du</w:t>
      </w:r>
      <w:r w:rsidR="0068495D" w:rsidRPr="0004134A">
        <w:rPr>
          <w:rFonts w:ascii="Times New Roman" w:hAnsi="Times New Roman" w:cs="Times New Roman"/>
          <w:bCs/>
          <w:sz w:val="24"/>
          <w:szCs w:val="24"/>
          <w:lang w:val="fr-FR"/>
        </w:rPr>
        <w:t xml:space="preserve"> protocole d’exécution </w:t>
      </w:r>
      <w:r w:rsidR="00B879B2" w:rsidRPr="0004134A">
        <w:rPr>
          <w:rFonts w:ascii="Times New Roman" w:hAnsi="Times New Roman" w:cs="Times New Roman"/>
          <w:bCs/>
          <w:sz w:val="24"/>
          <w:szCs w:val="24"/>
          <w:lang w:val="fr-FR"/>
        </w:rPr>
        <w:t xml:space="preserve">du programme NIMD au Burundi </w:t>
      </w:r>
      <w:r w:rsidR="0068495D" w:rsidRPr="0004134A">
        <w:rPr>
          <w:rFonts w:ascii="Times New Roman" w:hAnsi="Times New Roman" w:cs="Times New Roman"/>
          <w:bCs/>
          <w:sz w:val="24"/>
          <w:szCs w:val="24"/>
          <w:lang w:val="fr-FR"/>
        </w:rPr>
        <w:t xml:space="preserve">par ce même ministère. </w:t>
      </w:r>
      <w:r w:rsidR="00B879B2" w:rsidRPr="0004134A">
        <w:rPr>
          <w:rFonts w:ascii="Times New Roman" w:hAnsi="Times New Roman" w:cs="Times New Roman"/>
          <w:bCs/>
          <w:sz w:val="24"/>
          <w:szCs w:val="24"/>
          <w:lang w:val="fr-FR"/>
        </w:rPr>
        <w:t>Les détails seront fournis dans le prochain rapport.</w:t>
      </w:r>
      <w:r w:rsidR="0006133F" w:rsidRPr="0004134A">
        <w:rPr>
          <w:rFonts w:ascii="Times New Roman" w:hAnsi="Times New Roman" w:cs="Times New Roman"/>
          <w:bCs/>
          <w:sz w:val="24"/>
          <w:szCs w:val="24"/>
          <w:lang w:val="fr-FR"/>
        </w:rPr>
        <w:t xml:space="preserve">   </w:t>
      </w:r>
    </w:p>
    <w:p w14:paraId="51494927" w14:textId="4B322B71" w:rsidR="002043FB" w:rsidRPr="00F74696" w:rsidRDefault="00AE74A8" w:rsidP="00D53074">
      <w:pPr>
        <w:pStyle w:val="ListParagraph"/>
        <w:numPr>
          <w:ilvl w:val="0"/>
          <w:numId w:val="26"/>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Identification des partenaires locaux prestataires de services</w:t>
      </w:r>
      <w:r w:rsidR="00D92690" w:rsidRPr="0004134A">
        <w:rPr>
          <w:rFonts w:ascii="Times New Roman" w:hAnsi="Times New Roman" w:cs="Times New Roman"/>
          <w:b/>
          <w:sz w:val="24"/>
          <w:szCs w:val="24"/>
          <w:lang w:val="fr-FR"/>
        </w:rPr>
        <w:t> :</w:t>
      </w:r>
      <w:r w:rsidR="00D92690" w:rsidRPr="0004134A">
        <w:rPr>
          <w:rFonts w:ascii="Times New Roman" w:hAnsi="Times New Roman" w:cs="Times New Roman"/>
          <w:bCs/>
          <w:sz w:val="24"/>
          <w:szCs w:val="24"/>
          <w:lang w:val="fr-FR"/>
        </w:rPr>
        <w:t xml:space="preserve"> </w:t>
      </w:r>
      <w:r w:rsidR="0043311C" w:rsidRPr="0004134A">
        <w:rPr>
          <w:rFonts w:ascii="Times New Roman" w:hAnsi="Times New Roman" w:cs="Times New Roman"/>
          <w:bCs/>
          <w:sz w:val="24"/>
          <w:szCs w:val="24"/>
          <w:lang w:val="fr-FR"/>
        </w:rPr>
        <w:t xml:space="preserve">Depuis le mois de septembre-octobre 2023, NIMD a mené des contacts auprès des organisations locales œuvrant dans les secteurs couverts par le projet FIPP et ciblées comme des prestataires potentiels pour l’exécution de certaines activités du projet, particulièrement pendant la phase qui précède l’agrément du bureau-pays de NIMD au Burundi, vu l’impossibilité d’exécuter directement les activités sans agrément préalable par le Gouvernement. Dans cette perspective, </w:t>
      </w:r>
      <w:r w:rsidR="00D93120" w:rsidRPr="00F74696">
        <w:rPr>
          <w:rFonts w:ascii="Times New Roman" w:hAnsi="Times New Roman" w:cs="Times New Roman"/>
          <w:b/>
          <w:sz w:val="24"/>
          <w:szCs w:val="24"/>
          <w:lang w:val="fr-FR"/>
        </w:rPr>
        <w:t xml:space="preserve">huit </w:t>
      </w:r>
      <w:r w:rsidR="0043311C" w:rsidRPr="00F74696">
        <w:rPr>
          <w:rFonts w:ascii="Times New Roman" w:hAnsi="Times New Roman" w:cs="Times New Roman"/>
          <w:b/>
          <w:sz w:val="24"/>
          <w:szCs w:val="24"/>
          <w:lang w:val="fr-FR"/>
        </w:rPr>
        <w:t>organisations</w:t>
      </w:r>
      <w:r w:rsidR="0043311C" w:rsidRPr="0004134A">
        <w:rPr>
          <w:rFonts w:ascii="Times New Roman" w:hAnsi="Times New Roman" w:cs="Times New Roman"/>
          <w:bCs/>
          <w:sz w:val="24"/>
          <w:szCs w:val="24"/>
          <w:lang w:val="fr-FR"/>
        </w:rPr>
        <w:t xml:space="preserve"> </w:t>
      </w:r>
      <w:r w:rsidR="00D93120" w:rsidRPr="0004134A">
        <w:rPr>
          <w:rFonts w:ascii="Times New Roman" w:hAnsi="Times New Roman" w:cs="Times New Roman"/>
          <w:bCs/>
          <w:sz w:val="24"/>
          <w:szCs w:val="24"/>
          <w:lang w:val="fr-FR"/>
        </w:rPr>
        <w:t xml:space="preserve">dont deux en consortium, </w:t>
      </w:r>
      <w:r w:rsidR="0043311C" w:rsidRPr="0004134A">
        <w:rPr>
          <w:rFonts w:ascii="Times New Roman" w:hAnsi="Times New Roman" w:cs="Times New Roman"/>
          <w:bCs/>
          <w:sz w:val="24"/>
          <w:szCs w:val="24"/>
          <w:lang w:val="fr-FR"/>
        </w:rPr>
        <w:t xml:space="preserve">ont été identifiées </w:t>
      </w:r>
      <w:r w:rsidR="00BE39B5" w:rsidRPr="0004134A">
        <w:rPr>
          <w:rFonts w:ascii="Times New Roman" w:hAnsi="Times New Roman" w:cs="Times New Roman"/>
          <w:bCs/>
          <w:sz w:val="24"/>
          <w:szCs w:val="24"/>
          <w:lang w:val="fr-FR"/>
        </w:rPr>
        <w:t xml:space="preserve">pour exécuter les activités en rapport avec le plaidoyer pour une meilleure participation politique des jeunes et des femmes, la prévention et la lutte contre la manipulation des jeunes et la lutte contre les </w:t>
      </w:r>
      <w:r w:rsidR="00476F1C" w:rsidRPr="0004134A">
        <w:rPr>
          <w:rFonts w:ascii="Times New Roman" w:hAnsi="Times New Roman" w:cs="Times New Roman"/>
          <w:bCs/>
          <w:sz w:val="24"/>
          <w:szCs w:val="24"/>
          <w:lang w:val="fr-FR"/>
        </w:rPr>
        <w:t>violences</w:t>
      </w:r>
      <w:r w:rsidR="008D6BDF" w:rsidRPr="0004134A">
        <w:rPr>
          <w:rFonts w:ascii="Times New Roman" w:hAnsi="Times New Roman" w:cs="Times New Roman"/>
          <w:bCs/>
          <w:sz w:val="24"/>
          <w:szCs w:val="24"/>
          <w:lang w:val="fr-FR"/>
        </w:rPr>
        <w:t xml:space="preserve"> électorales, </w:t>
      </w:r>
      <w:r w:rsidR="00476F1C" w:rsidRPr="0004134A">
        <w:rPr>
          <w:rFonts w:ascii="Times New Roman" w:hAnsi="Times New Roman" w:cs="Times New Roman"/>
          <w:bCs/>
          <w:sz w:val="24"/>
          <w:szCs w:val="24"/>
          <w:lang w:val="fr-FR"/>
        </w:rPr>
        <w:t>le</w:t>
      </w:r>
      <w:r w:rsidR="00BE39B5" w:rsidRPr="0004134A">
        <w:rPr>
          <w:rFonts w:ascii="Times New Roman" w:hAnsi="Times New Roman" w:cs="Times New Roman"/>
          <w:bCs/>
          <w:sz w:val="24"/>
          <w:szCs w:val="24"/>
          <w:lang w:val="fr-FR"/>
        </w:rPr>
        <w:t xml:space="preserve"> dialogue politique et le renforcement des capacités des partis politiques. Il s’agit des organisations</w:t>
      </w:r>
      <w:r w:rsidR="00D075B9">
        <w:rPr>
          <w:rFonts w:ascii="Times New Roman" w:hAnsi="Times New Roman" w:cs="Times New Roman"/>
          <w:bCs/>
          <w:sz w:val="24"/>
          <w:szCs w:val="24"/>
          <w:lang w:val="fr-FR"/>
        </w:rPr>
        <w:t xml:space="preserve"> suivantes</w:t>
      </w:r>
      <w:r w:rsidR="002043FB">
        <w:rPr>
          <w:rFonts w:ascii="Times New Roman" w:hAnsi="Times New Roman" w:cs="Times New Roman"/>
          <w:bCs/>
          <w:sz w:val="24"/>
          <w:szCs w:val="24"/>
          <w:lang w:val="fr-FR"/>
        </w:rPr>
        <w:t> :</w:t>
      </w:r>
    </w:p>
    <w:p w14:paraId="1A5B6417" w14:textId="77777777" w:rsidR="002043FB" w:rsidRPr="00F74696" w:rsidRDefault="002043FB" w:rsidP="00F74696">
      <w:pPr>
        <w:pStyle w:val="ListParagraph"/>
        <w:spacing w:after="0"/>
        <w:jc w:val="both"/>
        <w:rPr>
          <w:rFonts w:ascii="Times New Roman" w:hAnsi="Times New Roman" w:cs="Times New Roman"/>
          <w:b/>
          <w:sz w:val="24"/>
          <w:szCs w:val="24"/>
          <w:lang w:val="fr-FR"/>
        </w:rPr>
      </w:pPr>
    </w:p>
    <w:p w14:paraId="647D78A7" w14:textId="790C22D1" w:rsidR="002043FB" w:rsidRPr="00F74696" w:rsidRDefault="00BE39B5" w:rsidP="002043FB">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t xml:space="preserve">Association de Femmes Rapatriées du Burundi « AFRABU », </w:t>
      </w:r>
    </w:p>
    <w:p w14:paraId="6AA94CD9" w14:textId="4B645E2B" w:rsidR="002043FB" w:rsidRPr="00F74696" w:rsidRDefault="00BE39B5" w:rsidP="002043FB">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t xml:space="preserve">Association des Parlementaires du Burundi « APB », </w:t>
      </w:r>
    </w:p>
    <w:p w14:paraId="6152B744" w14:textId="433C2DC3" w:rsidR="002043FB" w:rsidRPr="00F74696" w:rsidRDefault="00BE39B5" w:rsidP="002043FB">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t>Synergie Belgo-Burundaise pour le Développement « BEL-BURUNDI</w:t>
      </w:r>
      <w:r w:rsidR="001953AB" w:rsidRPr="0004134A">
        <w:rPr>
          <w:rFonts w:ascii="Times New Roman" w:hAnsi="Times New Roman" w:cs="Times New Roman"/>
          <w:bCs/>
          <w:sz w:val="24"/>
          <w:szCs w:val="24"/>
          <w:lang w:val="fr-FR"/>
        </w:rPr>
        <w:t xml:space="preserve"> » </w:t>
      </w:r>
    </w:p>
    <w:p w14:paraId="348115D9" w14:textId="0E7CB5AF" w:rsidR="002043FB" w:rsidRPr="00F74696" w:rsidRDefault="00BE39B5" w:rsidP="002043FB">
      <w:pPr>
        <w:pStyle w:val="ListParagraph"/>
        <w:numPr>
          <w:ilvl w:val="0"/>
          <w:numId w:val="48"/>
        </w:numPr>
        <w:spacing w:after="0"/>
        <w:jc w:val="both"/>
        <w:rPr>
          <w:rFonts w:ascii="Times New Roman" w:hAnsi="Times New Roman" w:cs="Times New Roman"/>
          <w:b/>
          <w:sz w:val="24"/>
          <w:szCs w:val="24"/>
          <w:lang w:val="en-GB"/>
        </w:rPr>
      </w:pPr>
      <w:r w:rsidRPr="00F74696">
        <w:rPr>
          <w:rFonts w:ascii="Times New Roman" w:hAnsi="Times New Roman" w:cs="Times New Roman"/>
          <w:bCs/>
          <w:i/>
          <w:iCs/>
          <w:sz w:val="24"/>
          <w:szCs w:val="24"/>
          <w:lang w:val="en-GB"/>
        </w:rPr>
        <w:t xml:space="preserve">Women for Peace and </w:t>
      </w:r>
      <w:proofErr w:type="spellStart"/>
      <w:r w:rsidRPr="00F74696">
        <w:rPr>
          <w:rFonts w:ascii="Times New Roman" w:hAnsi="Times New Roman" w:cs="Times New Roman"/>
          <w:bCs/>
          <w:i/>
          <w:iCs/>
          <w:sz w:val="24"/>
          <w:szCs w:val="24"/>
          <w:lang w:val="en-GB"/>
        </w:rPr>
        <w:t>Developpement</w:t>
      </w:r>
      <w:proofErr w:type="spellEnd"/>
      <w:r w:rsidRPr="00F74696">
        <w:rPr>
          <w:rFonts w:ascii="Times New Roman" w:hAnsi="Times New Roman" w:cs="Times New Roman"/>
          <w:bCs/>
          <w:i/>
          <w:iCs/>
          <w:sz w:val="24"/>
          <w:szCs w:val="24"/>
          <w:lang w:val="en-GB"/>
        </w:rPr>
        <w:t xml:space="preserve"> </w:t>
      </w:r>
      <w:r w:rsidRPr="00F74696">
        <w:rPr>
          <w:rFonts w:ascii="Times New Roman" w:hAnsi="Times New Roman" w:cs="Times New Roman"/>
          <w:bCs/>
          <w:sz w:val="24"/>
          <w:szCs w:val="24"/>
          <w:lang w:val="en-GB"/>
        </w:rPr>
        <w:t xml:space="preserve">«  BWPD », </w:t>
      </w:r>
    </w:p>
    <w:p w14:paraId="0E82301A" w14:textId="77777777" w:rsidR="002043FB" w:rsidRPr="00F74696" w:rsidRDefault="009233F4" w:rsidP="002043FB">
      <w:pPr>
        <w:pStyle w:val="ListParagraph"/>
        <w:numPr>
          <w:ilvl w:val="0"/>
          <w:numId w:val="48"/>
        </w:numPr>
        <w:spacing w:after="0"/>
        <w:jc w:val="both"/>
        <w:rPr>
          <w:rFonts w:ascii="Times New Roman" w:hAnsi="Times New Roman" w:cs="Times New Roman"/>
          <w:b/>
          <w:sz w:val="24"/>
          <w:szCs w:val="24"/>
        </w:rPr>
      </w:pPr>
      <w:r w:rsidRPr="00F74696">
        <w:rPr>
          <w:rFonts w:ascii="Times New Roman" w:hAnsi="Times New Roman" w:cs="Times New Roman"/>
          <w:bCs/>
          <w:sz w:val="24"/>
          <w:szCs w:val="24"/>
        </w:rPr>
        <w:t xml:space="preserve">Burundi Leadership Training </w:t>
      </w:r>
      <w:proofErr w:type="spellStart"/>
      <w:r w:rsidRPr="00F74696">
        <w:rPr>
          <w:rFonts w:ascii="Times New Roman" w:hAnsi="Times New Roman" w:cs="Times New Roman"/>
          <w:bCs/>
          <w:sz w:val="24"/>
          <w:szCs w:val="24"/>
        </w:rPr>
        <w:t>Programme</w:t>
      </w:r>
      <w:proofErr w:type="spellEnd"/>
      <w:r w:rsidRPr="00F74696">
        <w:rPr>
          <w:rFonts w:ascii="Times New Roman" w:hAnsi="Times New Roman" w:cs="Times New Roman"/>
          <w:bCs/>
          <w:sz w:val="24"/>
          <w:szCs w:val="24"/>
        </w:rPr>
        <w:t xml:space="preserve"> « BLTP »</w:t>
      </w:r>
      <w:r w:rsidR="008D6BDF" w:rsidRPr="00F74696">
        <w:rPr>
          <w:rFonts w:ascii="Times New Roman" w:hAnsi="Times New Roman" w:cs="Times New Roman"/>
          <w:bCs/>
          <w:sz w:val="24"/>
          <w:szCs w:val="24"/>
        </w:rPr>
        <w:t>,</w:t>
      </w:r>
      <w:r w:rsidR="00BE39B5" w:rsidRPr="00F74696">
        <w:rPr>
          <w:rFonts w:ascii="Times New Roman" w:hAnsi="Times New Roman" w:cs="Times New Roman"/>
          <w:bCs/>
          <w:sz w:val="24"/>
          <w:szCs w:val="24"/>
        </w:rPr>
        <w:t xml:space="preserve"> </w:t>
      </w:r>
    </w:p>
    <w:p w14:paraId="6ABF98CC" w14:textId="77777777" w:rsidR="002043FB" w:rsidRPr="00F74696" w:rsidRDefault="001953AB" w:rsidP="002043FB">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t>Centre d’appui aux Initiatives locales de Développement et d’assistance aux Personnes vulnérables « CIDEP »</w:t>
      </w:r>
      <w:r w:rsidR="008D6BDF" w:rsidRPr="0004134A">
        <w:rPr>
          <w:rFonts w:ascii="Times New Roman" w:hAnsi="Times New Roman" w:cs="Times New Roman"/>
          <w:bCs/>
          <w:sz w:val="24"/>
          <w:szCs w:val="24"/>
          <w:lang w:val="fr-FR"/>
        </w:rPr>
        <w:t>,</w:t>
      </w:r>
    </w:p>
    <w:p w14:paraId="0015128C" w14:textId="77777777" w:rsidR="002043FB" w:rsidRPr="00F74696" w:rsidRDefault="009233F4" w:rsidP="002043FB">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t xml:space="preserve"> </w:t>
      </w:r>
      <w:r w:rsidR="001953AB" w:rsidRPr="0004134A">
        <w:rPr>
          <w:rFonts w:ascii="Times New Roman" w:hAnsi="Times New Roman" w:cs="Times New Roman"/>
          <w:bCs/>
          <w:sz w:val="24"/>
          <w:szCs w:val="24"/>
          <w:lang w:val="fr-FR"/>
        </w:rPr>
        <w:t>Centre d’Alerte et de Prévention des Conflits « CENAP » et</w:t>
      </w:r>
      <w:r w:rsidRPr="0004134A">
        <w:rPr>
          <w:rFonts w:ascii="Times New Roman" w:hAnsi="Times New Roman" w:cs="Times New Roman"/>
          <w:bCs/>
          <w:sz w:val="24"/>
          <w:szCs w:val="24"/>
          <w:lang w:val="fr-FR"/>
        </w:rPr>
        <w:t xml:space="preserve"> enfin, </w:t>
      </w:r>
    </w:p>
    <w:p w14:paraId="14F66E85" w14:textId="22144E85" w:rsidR="00AE74A8" w:rsidRPr="0004134A" w:rsidRDefault="009233F4" w:rsidP="00F74696">
      <w:pPr>
        <w:pStyle w:val="ListParagraph"/>
        <w:numPr>
          <w:ilvl w:val="0"/>
          <w:numId w:val="48"/>
        </w:numPr>
        <w:spacing w:after="0"/>
        <w:jc w:val="both"/>
        <w:rPr>
          <w:rFonts w:ascii="Times New Roman" w:hAnsi="Times New Roman" w:cs="Times New Roman"/>
          <w:b/>
          <w:sz w:val="24"/>
          <w:szCs w:val="24"/>
          <w:lang w:val="fr-FR"/>
        </w:rPr>
      </w:pPr>
      <w:r w:rsidRPr="0004134A">
        <w:rPr>
          <w:rFonts w:ascii="Times New Roman" w:hAnsi="Times New Roman" w:cs="Times New Roman"/>
          <w:bCs/>
          <w:sz w:val="24"/>
          <w:szCs w:val="24"/>
          <w:lang w:val="fr-FR"/>
        </w:rPr>
        <w:lastRenderedPageBreak/>
        <w:t>le Réseau des Organisations de Jeunes en Action pour la paix, la Réconciliation et le Développement «  REJA »</w:t>
      </w:r>
      <w:r w:rsidR="00142F26" w:rsidRPr="0004134A">
        <w:rPr>
          <w:rFonts w:ascii="Times New Roman" w:hAnsi="Times New Roman" w:cs="Times New Roman"/>
          <w:bCs/>
          <w:sz w:val="24"/>
          <w:szCs w:val="24"/>
          <w:lang w:val="fr-FR"/>
        </w:rPr>
        <w:t> ;</w:t>
      </w:r>
    </w:p>
    <w:p w14:paraId="4D4AD94D" w14:textId="23445757" w:rsidR="00AE74A8" w:rsidRPr="0004134A" w:rsidRDefault="00AE74A8" w:rsidP="00D53074">
      <w:pPr>
        <w:pStyle w:val="ListParagraph"/>
        <w:numPr>
          <w:ilvl w:val="0"/>
          <w:numId w:val="26"/>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Conception des outils de gestion</w:t>
      </w:r>
      <w:r w:rsidR="00952706" w:rsidRPr="0004134A">
        <w:rPr>
          <w:rFonts w:ascii="Times New Roman" w:hAnsi="Times New Roman" w:cs="Times New Roman"/>
          <w:b/>
          <w:sz w:val="24"/>
          <w:szCs w:val="24"/>
          <w:lang w:val="fr-FR"/>
        </w:rPr>
        <w:t xml:space="preserve"> et de suivi-évaluation :</w:t>
      </w:r>
      <w:r w:rsidR="00952706" w:rsidRPr="0004134A">
        <w:rPr>
          <w:rFonts w:ascii="Times New Roman" w:hAnsi="Times New Roman" w:cs="Times New Roman"/>
          <w:bCs/>
          <w:sz w:val="24"/>
          <w:szCs w:val="24"/>
          <w:lang w:val="fr-FR"/>
        </w:rPr>
        <w:t xml:space="preserve"> </w:t>
      </w:r>
      <w:r w:rsidR="00A605CB" w:rsidRPr="0004134A">
        <w:rPr>
          <w:rFonts w:ascii="Times New Roman" w:hAnsi="Times New Roman" w:cs="Times New Roman"/>
          <w:bCs/>
          <w:sz w:val="24"/>
          <w:szCs w:val="24"/>
          <w:lang w:val="fr-FR"/>
        </w:rPr>
        <w:t>il s’agit ici des outils de gestion interne tels que le manuel des procédures</w:t>
      </w:r>
      <w:r w:rsidR="00D93120" w:rsidRPr="0004134A">
        <w:rPr>
          <w:rFonts w:ascii="Times New Roman" w:hAnsi="Times New Roman" w:cs="Times New Roman"/>
          <w:bCs/>
          <w:sz w:val="24"/>
          <w:szCs w:val="24"/>
          <w:lang w:val="fr-FR"/>
        </w:rPr>
        <w:t xml:space="preserve"> (non encore finalisé)</w:t>
      </w:r>
      <w:r w:rsidR="00A605CB" w:rsidRPr="0004134A">
        <w:rPr>
          <w:rFonts w:ascii="Times New Roman" w:hAnsi="Times New Roman" w:cs="Times New Roman"/>
          <w:bCs/>
          <w:sz w:val="24"/>
          <w:szCs w:val="24"/>
          <w:lang w:val="fr-FR"/>
        </w:rPr>
        <w:t>, mais aussi les outils de planification comme les plans de travail ou les canevas de rapportage narratif et financier.</w:t>
      </w:r>
    </w:p>
    <w:p w14:paraId="213D3CCA" w14:textId="77777777" w:rsidR="0097691A" w:rsidRPr="0004134A" w:rsidRDefault="0097691A" w:rsidP="0097691A">
      <w:pPr>
        <w:pStyle w:val="ListParagraph"/>
        <w:spacing w:after="0"/>
        <w:jc w:val="both"/>
        <w:rPr>
          <w:rFonts w:ascii="Times New Roman" w:hAnsi="Times New Roman" w:cs="Times New Roman"/>
          <w:b/>
          <w:sz w:val="24"/>
          <w:szCs w:val="24"/>
          <w:lang w:val="fr-FR"/>
        </w:rPr>
      </w:pPr>
    </w:p>
    <w:p w14:paraId="68577FFB" w14:textId="23805B29" w:rsidR="00AE74A8" w:rsidRPr="0004134A" w:rsidRDefault="00B54612" w:rsidP="00B54612">
      <w:p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3.2.2. </w:t>
      </w:r>
      <w:r w:rsidR="00AE74A8" w:rsidRPr="0004134A">
        <w:rPr>
          <w:rFonts w:ascii="Times New Roman" w:hAnsi="Times New Roman" w:cs="Times New Roman"/>
          <w:b/>
          <w:sz w:val="24"/>
          <w:szCs w:val="24"/>
          <w:lang w:val="fr-FR"/>
        </w:rPr>
        <w:t>Activités du projet</w:t>
      </w:r>
    </w:p>
    <w:p w14:paraId="525D7B1B" w14:textId="77777777" w:rsidR="00EA438B" w:rsidRPr="0004134A" w:rsidRDefault="00EA438B" w:rsidP="00D53074">
      <w:pPr>
        <w:spacing w:after="0"/>
        <w:ind w:left="360"/>
        <w:jc w:val="both"/>
        <w:rPr>
          <w:rFonts w:ascii="Times New Roman" w:hAnsi="Times New Roman" w:cs="Times New Roman"/>
          <w:b/>
          <w:sz w:val="24"/>
          <w:szCs w:val="24"/>
          <w:lang w:val="fr-FR"/>
        </w:rPr>
      </w:pPr>
    </w:p>
    <w:p w14:paraId="7CDDC1C8" w14:textId="2A1496A7" w:rsidR="00AE74A8" w:rsidRPr="0004134A" w:rsidRDefault="008F7891"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w:t>
      </w:r>
      <w:r w:rsidR="00AE74A8" w:rsidRPr="0004134A">
        <w:rPr>
          <w:rFonts w:ascii="Times New Roman" w:hAnsi="Times New Roman" w:cs="Times New Roman"/>
          <w:b/>
          <w:sz w:val="24"/>
          <w:szCs w:val="24"/>
          <w:lang w:val="fr-FR"/>
        </w:rPr>
        <w:t>Etudes de base</w:t>
      </w:r>
    </w:p>
    <w:p w14:paraId="5915DED4" w14:textId="0E636742" w:rsidR="003F16F9" w:rsidRPr="0004134A" w:rsidRDefault="003F16F9" w:rsidP="00D53074">
      <w:pPr>
        <w:spacing w:after="0"/>
        <w:jc w:val="both"/>
        <w:rPr>
          <w:rFonts w:ascii="Times New Roman" w:hAnsi="Times New Roman" w:cs="Times New Roman"/>
          <w:bCs/>
          <w:sz w:val="24"/>
          <w:szCs w:val="24"/>
          <w:lang w:val="fr-FR"/>
        </w:rPr>
      </w:pPr>
    </w:p>
    <w:p w14:paraId="1E0AC75B" w14:textId="60DC2995" w:rsidR="00277EC8" w:rsidRPr="0004134A" w:rsidRDefault="00154607" w:rsidP="00724ADD">
      <w:pPr>
        <w:pStyle w:val="ListParagraph"/>
        <w:jc w:val="both"/>
        <w:rPr>
          <w:rFonts w:ascii="Times New Roman" w:hAnsi="Times New Roman" w:cs="Times New Roman"/>
          <w:sz w:val="24"/>
          <w:szCs w:val="24"/>
          <w:lang w:val="fr-FR"/>
        </w:rPr>
      </w:pPr>
      <w:bookmarkStart w:id="0" w:name="_Hlk156834034"/>
      <w:r w:rsidRPr="0004134A">
        <w:rPr>
          <w:rFonts w:ascii="Times New Roman" w:hAnsi="Times New Roman" w:cs="Times New Roman"/>
          <w:sz w:val="24"/>
          <w:szCs w:val="24"/>
          <w:lang w:val="fr-FR"/>
        </w:rPr>
        <w:t xml:space="preserve">Une étude </w:t>
      </w:r>
      <w:r w:rsidR="00125599" w:rsidRPr="0004134A">
        <w:rPr>
          <w:rFonts w:ascii="Times New Roman" w:hAnsi="Times New Roman" w:cs="Times New Roman"/>
          <w:sz w:val="24"/>
          <w:szCs w:val="24"/>
          <w:lang w:val="fr-FR"/>
        </w:rPr>
        <w:t xml:space="preserve">d’analyse du contexte sociopolitique et une autre </w:t>
      </w:r>
      <w:r w:rsidR="00125599" w:rsidRPr="0004134A">
        <w:rPr>
          <w:rFonts w:ascii="Times New Roman" w:hAnsi="Times New Roman" w:cs="Times New Roman"/>
          <w:sz w:val="23"/>
          <w:szCs w:val="23"/>
          <w:lang w:val="fr-FR"/>
        </w:rPr>
        <w:t xml:space="preserve">portant sur l’évaluation des besoins des partis politiques en matière de renforcement des capacités dans les domaines de l’élaboration des programmes politiques, de la démocratie interne et du développement </w:t>
      </w:r>
      <w:bookmarkEnd w:id="0"/>
      <w:r w:rsidR="00A923AA" w:rsidRPr="0004134A">
        <w:rPr>
          <w:rFonts w:ascii="Times New Roman" w:hAnsi="Times New Roman" w:cs="Times New Roman"/>
          <w:sz w:val="23"/>
          <w:szCs w:val="23"/>
          <w:lang w:val="fr-FR"/>
        </w:rPr>
        <w:t>organisationnel ont</w:t>
      </w:r>
      <w:r w:rsidR="009D42DB" w:rsidRPr="0004134A">
        <w:rPr>
          <w:rFonts w:ascii="Times New Roman" w:hAnsi="Times New Roman" w:cs="Times New Roman"/>
          <w:sz w:val="23"/>
          <w:szCs w:val="23"/>
          <w:lang w:val="fr-FR"/>
        </w:rPr>
        <w:t xml:space="preserve"> </w:t>
      </w:r>
      <w:r w:rsidR="0051173F" w:rsidRPr="0004134A">
        <w:rPr>
          <w:rFonts w:ascii="Times New Roman" w:hAnsi="Times New Roman" w:cs="Times New Roman"/>
          <w:sz w:val="23"/>
          <w:szCs w:val="23"/>
          <w:lang w:val="fr-FR"/>
        </w:rPr>
        <w:t>été</w:t>
      </w:r>
      <w:r w:rsidR="009D42DB" w:rsidRPr="0004134A">
        <w:rPr>
          <w:rFonts w:ascii="Times New Roman" w:hAnsi="Times New Roman" w:cs="Times New Roman"/>
          <w:sz w:val="23"/>
          <w:szCs w:val="23"/>
          <w:lang w:val="fr-FR"/>
        </w:rPr>
        <w:t xml:space="preserve"> </w:t>
      </w:r>
      <w:r w:rsidR="0051173F" w:rsidRPr="0004134A">
        <w:rPr>
          <w:rFonts w:ascii="Times New Roman" w:hAnsi="Times New Roman" w:cs="Times New Roman"/>
          <w:sz w:val="23"/>
          <w:szCs w:val="23"/>
          <w:lang w:val="fr-FR"/>
        </w:rPr>
        <w:t>menée</w:t>
      </w:r>
      <w:r w:rsidR="00A923AA" w:rsidRPr="0004134A">
        <w:rPr>
          <w:rFonts w:ascii="Times New Roman" w:hAnsi="Times New Roman" w:cs="Times New Roman"/>
          <w:sz w:val="23"/>
          <w:szCs w:val="23"/>
          <w:lang w:val="fr-FR"/>
        </w:rPr>
        <w:t>s</w:t>
      </w:r>
      <w:r w:rsidR="0051173F" w:rsidRPr="0004134A">
        <w:rPr>
          <w:rFonts w:ascii="Times New Roman" w:hAnsi="Times New Roman" w:cs="Times New Roman"/>
          <w:sz w:val="23"/>
          <w:szCs w:val="23"/>
          <w:lang w:val="fr-FR"/>
        </w:rPr>
        <w:t xml:space="preserve"> </w:t>
      </w:r>
      <w:r w:rsidR="00125599" w:rsidRPr="0004134A">
        <w:rPr>
          <w:rFonts w:ascii="Times New Roman" w:hAnsi="Times New Roman" w:cs="Times New Roman"/>
          <w:sz w:val="23"/>
          <w:szCs w:val="23"/>
          <w:lang w:val="fr-FR"/>
        </w:rPr>
        <w:t>en vue d’alimenter les réflexions et permettre l’ajustement des activités du projet FIPP au contexte et aux besoins réels du groupe cible. L</w:t>
      </w:r>
      <w:r w:rsidR="003F16F9" w:rsidRPr="0004134A">
        <w:rPr>
          <w:rFonts w:ascii="Times New Roman" w:hAnsi="Times New Roman" w:cs="Times New Roman"/>
          <w:sz w:val="24"/>
          <w:szCs w:val="24"/>
          <w:lang w:val="fr-FR"/>
        </w:rPr>
        <w:t xml:space="preserve">’analyse des </w:t>
      </w:r>
      <w:r w:rsidR="00AC2EFB" w:rsidRPr="0004134A">
        <w:rPr>
          <w:rFonts w:ascii="Times New Roman" w:hAnsi="Times New Roman" w:cs="Times New Roman"/>
          <w:sz w:val="24"/>
          <w:szCs w:val="24"/>
          <w:lang w:val="fr-FR"/>
        </w:rPr>
        <w:t xml:space="preserve">rapports des deux études </w:t>
      </w:r>
      <w:r w:rsidR="003F16F9" w:rsidRPr="0004134A">
        <w:rPr>
          <w:rFonts w:ascii="Times New Roman" w:hAnsi="Times New Roman" w:cs="Times New Roman"/>
          <w:sz w:val="24"/>
          <w:szCs w:val="24"/>
          <w:lang w:val="fr-FR"/>
        </w:rPr>
        <w:t>permet de dégager des pistes d’actions qui se révèlent très pertinentes pour le NIMD</w:t>
      </w:r>
      <w:r w:rsidR="00AC2EFB" w:rsidRPr="0004134A">
        <w:rPr>
          <w:rFonts w:ascii="Times New Roman" w:hAnsi="Times New Roman" w:cs="Times New Roman"/>
          <w:sz w:val="24"/>
          <w:szCs w:val="24"/>
          <w:lang w:val="fr-FR"/>
        </w:rPr>
        <w:t xml:space="preserve">, </w:t>
      </w:r>
      <w:r w:rsidR="00E70C90" w:rsidRPr="0004134A">
        <w:rPr>
          <w:rFonts w:ascii="Times New Roman" w:hAnsi="Times New Roman" w:cs="Times New Roman"/>
          <w:sz w:val="24"/>
          <w:szCs w:val="24"/>
          <w:lang w:val="fr-FR"/>
        </w:rPr>
        <w:t xml:space="preserve">en partant du </w:t>
      </w:r>
      <w:r w:rsidR="00EA438B" w:rsidRPr="0004134A">
        <w:rPr>
          <w:rFonts w:ascii="Times New Roman" w:hAnsi="Times New Roman" w:cs="Times New Roman"/>
          <w:sz w:val="24"/>
          <w:szCs w:val="24"/>
          <w:lang w:val="fr-FR"/>
        </w:rPr>
        <w:t>fait</w:t>
      </w:r>
      <w:r w:rsidR="00E70C90" w:rsidRPr="0004134A">
        <w:rPr>
          <w:rFonts w:ascii="Times New Roman" w:hAnsi="Times New Roman" w:cs="Times New Roman"/>
          <w:sz w:val="24"/>
          <w:szCs w:val="24"/>
          <w:lang w:val="fr-FR"/>
        </w:rPr>
        <w:t xml:space="preserve"> que </w:t>
      </w:r>
      <w:r w:rsidR="003F16F9" w:rsidRPr="0004134A">
        <w:rPr>
          <w:rFonts w:ascii="Times New Roman" w:hAnsi="Times New Roman" w:cs="Times New Roman"/>
          <w:sz w:val="24"/>
          <w:szCs w:val="24"/>
          <w:lang w:val="fr-FR"/>
        </w:rPr>
        <w:t xml:space="preserve">les élections de 2025 seront très différentes de celles ayant eu lieu en 2020. Il s’agit d’une compétition particulièrement locale où l’envergure nationale des partis et des leaders pèseront </w:t>
      </w:r>
      <w:r w:rsidR="00126389" w:rsidRPr="0004134A">
        <w:rPr>
          <w:rFonts w:ascii="Times New Roman" w:hAnsi="Times New Roman" w:cs="Times New Roman"/>
          <w:sz w:val="24"/>
          <w:szCs w:val="24"/>
          <w:lang w:val="fr-FR"/>
        </w:rPr>
        <w:t xml:space="preserve">probablement </w:t>
      </w:r>
      <w:r w:rsidR="003F16F9" w:rsidRPr="0004134A">
        <w:rPr>
          <w:rFonts w:ascii="Times New Roman" w:hAnsi="Times New Roman" w:cs="Times New Roman"/>
          <w:sz w:val="24"/>
          <w:szCs w:val="24"/>
          <w:lang w:val="fr-FR"/>
        </w:rPr>
        <w:t xml:space="preserve">moins sur le cours des élections. </w:t>
      </w:r>
    </w:p>
    <w:p w14:paraId="1C22DAB0" w14:textId="77777777" w:rsidR="00D53074" w:rsidRPr="0004134A" w:rsidRDefault="00D53074" w:rsidP="00D53074">
      <w:pPr>
        <w:pStyle w:val="ListParagraph"/>
        <w:jc w:val="both"/>
        <w:rPr>
          <w:rFonts w:ascii="Times New Roman" w:hAnsi="Times New Roman" w:cs="Times New Roman"/>
          <w:sz w:val="24"/>
          <w:szCs w:val="24"/>
          <w:lang w:val="fr-FR"/>
        </w:rPr>
      </w:pPr>
    </w:p>
    <w:p w14:paraId="4E82DDC1" w14:textId="070EF1F8" w:rsidR="00277EC8" w:rsidRPr="0004134A" w:rsidRDefault="00277EC8" w:rsidP="00724ADD">
      <w:pPr>
        <w:pStyle w:val="ListParagraph"/>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 xml:space="preserve">Les deux études ont permis d’identifier certains </w:t>
      </w:r>
      <w:r w:rsidRPr="0004134A">
        <w:rPr>
          <w:rFonts w:ascii="Times New Roman" w:hAnsi="Times New Roman" w:cs="Times New Roman"/>
          <w:b/>
          <w:bCs/>
          <w:sz w:val="24"/>
          <w:szCs w:val="24"/>
          <w:lang w:val="fr-FR"/>
        </w:rPr>
        <w:t>risques</w:t>
      </w:r>
      <w:r w:rsidRPr="0004134A">
        <w:rPr>
          <w:rFonts w:ascii="Times New Roman" w:hAnsi="Times New Roman" w:cs="Times New Roman"/>
          <w:sz w:val="24"/>
          <w:szCs w:val="24"/>
          <w:lang w:val="fr-FR"/>
        </w:rPr>
        <w:t xml:space="preserve"> auxquels le NIMD </w:t>
      </w:r>
      <w:r w:rsidR="005E4A32" w:rsidRPr="0004134A">
        <w:rPr>
          <w:rFonts w:ascii="Times New Roman" w:hAnsi="Times New Roman" w:cs="Times New Roman"/>
          <w:sz w:val="24"/>
          <w:szCs w:val="24"/>
          <w:lang w:val="fr-FR"/>
        </w:rPr>
        <w:t xml:space="preserve">pourrait </w:t>
      </w:r>
      <w:r w:rsidRPr="0004134A">
        <w:rPr>
          <w:rFonts w:ascii="Times New Roman" w:hAnsi="Times New Roman" w:cs="Times New Roman"/>
          <w:sz w:val="24"/>
          <w:szCs w:val="24"/>
          <w:lang w:val="fr-FR"/>
        </w:rPr>
        <w:t>être confronté dans la mise en œuvre de ses programmes au Burundi. Il s’agit notamment des risques suivants :</w:t>
      </w:r>
    </w:p>
    <w:p w14:paraId="0D8213C0" w14:textId="42AB0C40" w:rsidR="00277EC8" w:rsidRPr="0004134A" w:rsidRDefault="00277EC8" w:rsidP="00D53074">
      <w:pPr>
        <w:pStyle w:val="ListParagraph"/>
        <w:numPr>
          <w:ilvl w:val="0"/>
          <w:numId w:val="29"/>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La dilution des enjeux de paix et de démocratie dans un discours développementaliste où les thématiques du développement et de la lutte contre la pauvreté priment sur les questions de gouvernance politique et où les interventions du NIMD pourraient être jugées hors-contexte</w:t>
      </w:r>
      <w:r w:rsidR="005E4A32" w:rsidRPr="0004134A">
        <w:rPr>
          <w:rFonts w:ascii="Times New Roman" w:hAnsi="Times New Roman" w:cs="Times New Roman"/>
          <w:sz w:val="24"/>
          <w:szCs w:val="24"/>
          <w:lang w:val="fr-FR"/>
        </w:rPr>
        <w:t> ;</w:t>
      </w:r>
    </w:p>
    <w:p w14:paraId="523C7009" w14:textId="115742F8" w:rsidR="00277EC8" w:rsidRPr="0004134A" w:rsidRDefault="00277EC8" w:rsidP="00D53074">
      <w:pPr>
        <w:pStyle w:val="ListParagraph"/>
        <w:numPr>
          <w:ilvl w:val="0"/>
          <w:numId w:val="29"/>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La résignation des communautés locales au monopartisme face à l’inertie de la majorité des partis politiques présents au Burundi</w:t>
      </w:r>
      <w:r w:rsidR="00126389" w:rsidRPr="0004134A">
        <w:rPr>
          <w:rFonts w:ascii="Times New Roman" w:hAnsi="Times New Roman" w:cs="Times New Roman"/>
          <w:sz w:val="24"/>
          <w:szCs w:val="24"/>
          <w:lang w:val="fr-FR"/>
        </w:rPr>
        <w:t xml:space="preserve"> et la suspension des activités du principal parti de l’opposition (CNL)</w:t>
      </w:r>
      <w:r w:rsidRPr="0004134A">
        <w:rPr>
          <w:rFonts w:ascii="Times New Roman" w:hAnsi="Times New Roman" w:cs="Times New Roman"/>
          <w:sz w:val="24"/>
          <w:szCs w:val="24"/>
          <w:lang w:val="fr-FR"/>
        </w:rPr>
        <w:t>, laissant le terrain libre au seul parti au pouvoir. Le NIMD risquerait ainsi de travailler avec des partis politiques qui n’existent que de nom</w:t>
      </w:r>
      <w:r w:rsidR="00126389" w:rsidRPr="0004134A">
        <w:rPr>
          <w:rFonts w:ascii="Times New Roman" w:hAnsi="Times New Roman" w:cs="Times New Roman"/>
          <w:sz w:val="24"/>
          <w:szCs w:val="24"/>
          <w:lang w:val="fr-FR"/>
        </w:rPr>
        <w:t xml:space="preserve"> surtout en dehors des capitales politique et économique</w:t>
      </w:r>
      <w:r w:rsidR="005E4A32" w:rsidRPr="0004134A">
        <w:rPr>
          <w:rFonts w:ascii="Times New Roman" w:hAnsi="Times New Roman" w:cs="Times New Roman"/>
          <w:sz w:val="24"/>
          <w:szCs w:val="24"/>
          <w:lang w:val="fr-FR"/>
        </w:rPr>
        <w:t> ;</w:t>
      </w:r>
    </w:p>
    <w:p w14:paraId="73A2E774" w14:textId="6B749B30" w:rsidR="00277EC8" w:rsidRPr="0004134A" w:rsidRDefault="00277EC8" w:rsidP="00D53074">
      <w:pPr>
        <w:pStyle w:val="ListParagraph"/>
        <w:numPr>
          <w:ilvl w:val="0"/>
          <w:numId w:val="29"/>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L’accaparement des processus politiques par les élites dans un contexte où la base est considérée par le CNDD-FDD comme sa chasse gardée en tant que pièce maitresse du processus électoral à venir</w:t>
      </w:r>
      <w:r w:rsidR="005E4A32" w:rsidRPr="0004134A">
        <w:rPr>
          <w:rFonts w:ascii="Times New Roman" w:hAnsi="Times New Roman" w:cs="Times New Roman"/>
          <w:sz w:val="24"/>
          <w:szCs w:val="24"/>
          <w:lang w:val="fr-FR"/>
        </w:rPr>
        <w:t> ;</w:t>
      </w:r>
      <w:r w:rsidRPr="0004134A">
        <w:rPr>
          <w:rFonts w:ascii="Times New Roman" w:hAnsi="Times New Roman" w:cs="Times New Roman"/>
          <w:sz w:val="24"/>
          <w:szCs w:val="24"/>
          <w:lang w:val="fr-FR"/>
        </w:rPr>
        <w:t xml:space="preserve"> </w:t>
      </w:r>
    </w:p>
    <w:p w14:paraId="4B963358" w14:textId="1F309337" w:rsidR="00277EC8" w:rsidRPr="0004134A" w:rsidRDefault="00277EC8" w:rsidP="00D53074">
      <w:pPr>
        <w:pStyle w:val="ListParagraph"/>
        <w:numPr>
          <w:ilvl w:val="0"/>
          <w:numId w:val="29"/>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La complexification croissante des dynamiques politiques de plus en plus marquées par la régionalisation, voire l’internationalisation suite au conflit en RDC et les relations diplomatiques ambiguës entre le Burundi et le Rwanda</w:t>
      </w:r>
      <w:r w:rsidR="005E4A32" w:rsidRPr="0004134A">
        <w:rPr>
          <w:rFonts w:ascii="Times New Roman" w:hAnsi="Times New Roman" w:cs="Times New Roman"/>
          <w:sz w:val="24"/>
          <w:szCs w:val="24"/>
          <w:lang w:val="fr-FR"/>
        </w:rPr>
        <w:t> ;</w:t>
      </w:r>
    </w:p>
    <w:p w14:paraId="5C3C8784" w14:textId="23E3240D" w:rsidR="00277EC8" w:rsidRPr="0004134A" w:rsidRDefault="00277EC8" w:rsidP="00D53074">
      <w:pPr>
        <w:pStyle w:val="ListParagraph"/>
        <w:numPr>
          <w:ilvl w:val="0"/>
          <w:numId w:val="29"/>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La montée de la fièvre électorale à l’approche de 2025 qui pourrait se traduire par une détérioration du climat politique susceptible de compliquer la conduite des activités du NIMD</w:t>
      </w:r>
      <w:r w:rsidR="000578A9" w:rsidRPr="0004134A">
        <w:rPr>
          <w:rFonts w:ascii="Times New Roman" w:hAnsi="Times New Roman" w:cs="Times New Roman"/>
          <w:sz w:val="24"/>
          <w:szCs w:val="24"/>
          <w:lang w:val="fr-FR"/>
        </w:rPr>
        <w:t>.</w:t>
      </w:r>
    </w:p>
    <w:p w14:paraId="743E30AF" w14:textId="77777777" w:rsidR="0047756E" w:rsidRPr="0004134A" w:rsidRDefault="0047756E" w:rsidP="0047756E">
      <w:pPr>
        <w:pStyle w:val="ListParagraph"/>
        <w:ind w:left="1068"/>
        <w:jc w:val="both"/>
        <w:rPr>
          <w:rFonts w:ascii="Times New Roman" w:hAnsi="Times New Roman" w:cs="Times New Roman"/>
          <w:sz w:val="24"/>
          <w:szCs w:val="24"/>
          <w:lang w:val="fr-FR"/>
        </w:rPr>
      </w:pPr>
    </w:p>
    <w:p w14:paraId="3AB607DA" w14:textId="57909B60" w:rsidR="00E70C90" w:rsidRPr="0004134A" w:rsidRDefault="00153FF1" w:rsidP="00724ADD">
      <w:pPr>
        <w:pStyle w:val="ListParagraph"/>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 xml:space="preserve">Face à ces risques, les deux études proposent à NIMD de mener une réflexion sur les </w:t>
      </w:r>
      <w:r w:rsidR="00E70C90" w:rsidRPr="0004134A">
        <w:rPr>
          <w:rFonts w:ascii="Times New Roman" w:hAnsi="Times New Roman" w:cs="Times New Roman"/>
          <w:b/>
          <w:bCs/>
          <w:sz w:val="24"/>
          <w:szCs w:val="24"/>
          <w:lang w:val="fr-FR"/>
        </w:rPr>
        <w:t>pistes d’action</w:t>
      </w:r>
      <w:r w:rsidR="00E70C90" w:rsidRPr="0004134A">
        <w:rPr>
          <w:rFonts w:ascii="Times New Roman" w:hAnsi="Times New Roman" w:cs="Times New Roman"/>
          <w:sz w:val="24"/>
          <w:szCs w:val="24"/>
          <w:lang w:val="fr-FR"/>
        </w:rPr>
        <w:t xml:space="preserve"> </w:t>
      </w:r>
      <w:r w:rsidRPr="0004134A">
        <w:rPr>
          <w:rFonts w:ascii="Times New Roman" w:hAnsi="Times New Roman" w:cs="Times New Roman"/>
          <w:sz w:val="24"/>
          <w:szCs w:val="24"/>
          <w:lang w:val="fr-FR"/>
        </w:rPr>
        <w:t>ci-après</w:t>
      </w:r>
      <w:r w:rsidR="00E70C90" w:rsidRPr="0004134A">
        <w:rPr>
          <w:rFonts w:ascii="Times New Roman" w:hAnsi="Times New Roman" w:cs="Times New Roman"/>
          <w:sz w:val="24"/>
          <w:szCs w:val="24"/>
          <w:lang w:val="fr-FR"/>
        </w:rPr>
        <w:t xml:space="preserve"> : </w:t>
      </w:r>
    </w:p>
    <w:p w14:paraId="566E86B7" w14:textId="1D49ED27" w:rsidR="00DE1B54" w:rsidRPr="0004134A" w:rsidRDefault="00DE1B54" w:rsidP="00DE1B54">
      <w:pPr>
        <w:pStyle w:val="ListParagraph"/>
        <w:numPr>
          <w:ilvl w:val="0"/>
          <w:numId w:val="28"/>
        </w:numPr>
        <w:rPr>
          <w:rFonts w:ascii="Times New Roman" w:hAnsi="Times New Roman" w:cs="Times New Roman"/>
          <w:sz w:val="24"/>
          <w:szCs w:val="24"/>
          <w:lang w:val="fr-FR"/>
        </w:rPr>
      </w:pPr>
      <w:r w:rsidRPr="0004134A">
        <w:rPr>
          <w:rFonts w:ascii="Times New Roman" w:hAnsi="Times New Roman" w:cs="Times New Roman"/>
          <w:sz w:val="24"/>
          <w:szCs w:val="24"/>
          <w:lang w:val="fr-FR"/>
        </w:rPr>
        <w:t>La construction d’alliance stratégiques avec des acteurs plus ou moins consensuels pouvant permettre de mener ses actions de manière efficace dans les communautés, telle que l’Eglise Catholique</w:t>
      </w:r>
      <w:r w:rsidR="000578A9" w:rsidRPr="0004134A">
        <w:rPr>
          <w:rFonts w:ascii="Times New Roman" w:hAnsi="Times New Roman" w:cs="Times New Roman"/>
          <w:sz w:val="24"/>
          <w:szCs w:val="24"/>
          <w:lang w:val="fr-FR"/>
        </w:rPr>
        <w:t> ;</w:t>
      </w:r>
      <w:r w:rsidRPr="0004134A">
        <w:rPr>
          <w:rFonts w:ascii="Times New Roman" w:hAnsi="Times New Roman" w:cs="Times New Roman"/>
          <w:sz w:val="24"/>
          <w:szCs w:val="24"/>
          <w:lang w:val="fr-FR"/>
        </w:rPr>
        <w:t xml:space="preserve"> </w:t>
      </w:r>
    </w:p>
    <w:p w14:paraId="0C03F910" w14:textId="4DAA43E8" w:rsidR="003F16F9" w:rsidRPr="0004134A" w:rsidRDefault="00E70C90" w:rsidP="00D53074">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lastRenderedPageBreak/>
        <w:t>Le renforcement des i</w:t>
      </w:r>
      <w:r w:rsidR="003F16F9" w:rsidRPr="0004134A">
        <w:rPr>
          <w:rFonts w:ascii="Times New Roman" w:hAnsi="Times New Roman" w:cs="Times New Roman"/>
          <w:sz w:val="24"/>
          <w:szCs w:val="24"/>
          <w:lang w:val="fr-FR"/>
        </w:rPr>
        <w:t xml:space="preserve">nterventions </w:t>
      </w:r>
      <w:r w:rsidRPr="0004134A">
        <w:rPr>
          <w:rFonts w:ascii="Times New Roman" w:hAnsi="Times New Roman" w:cs="Times New Roman"/>
          <w:sz w:val="24"/>
          <w:szCs w:val="24"/>
          <w:lang w:val="fr-FR"/>
        </w:rPr>
        <w:t xml:space="preserve">formelles et informelles </w:t>
      </w:r>
      <w:r w:rsidR="003F16F9" w:rsidRPr="0004134A">
        <w:rPr>
          <w:rFonts w:ascii="Times New Roman" w:hAnsi="Times New Roman" w:cs="Times New Roman"/>
          <w:sz w:val="24"/>
          <w:szCs w:val="24"/>
          <w:lang w:val="fr-FR"/>
        </w:rPr>
        <w:t>au niveau local pour permettre aux leaders locaux de jouer pleinement leur rôle en prélude à ces élections où la province et la commune seront au cœur de tous les enjeux électoraux</w:t>
      </w:r>
      <w:r w:rsidR="000578A9" w:rsidRPr="0004134A">
        <w:rPr>
          <w:rFonts w:ascii="Times New Roman" w:hAnsi="Times New Roman" w:cs="Times New Roman"/>
          <w:sz w:val="24"/>
          <w:szCs w:val="24"/>
          <w:lang w:val="fr-FR"/>
        </w:rPr>
        <w:t> ;</w:t>
      </w:r>
      <w:r w:rsidR="003F16F9" w:rsidRPr="0004134A">
        <w:rPr>
          <w:rFonts w:ascii="Times New Roman" w:hAnsi="Times New Roman" w:cs="Times New Roman"/>
          <w:sz w:val="24"/>
          <w:szCs w:val="24"/>
          <w:lang w:val="fr-FR"/>
        </w:rPr>
        <w:t xml:space="preserve"> </w:t>
      </w:r>
    </w:p>
    <w:p w14:paraId="0F769FAD" w14:textId="77FE9285" w:rsidR="003F16F9" w:rsidRPr="0004134A" w:rsidRDefault="00E70C90" w:rsidP="00D53074">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w:t>
      </w:r>
      <w:r w:rsidR="003F16F9" w:rsidRPr="0004134A">
        <w:rPr>
          <w:rFonts w:ascii="Times New Roman" w:hAnsi="Times New Roman" w:cs="Times New Roman"/>
          <w:sz w:val="24"/>
          <w:szCs w:val="24"/>
          <w:lang w:val="fr-FR"/>
        </w:rPr>
        <w:t xml:space="preserve">’accompagnement des partis politiques dans leur fonction programmatique </w:t>
      </w:r>
      <w:r w:rsidRPr="0004134A">
        <w:rPr>
          <w:rFonts w:ascii="Times New Roman" w:hAnsi="Times New Roman" w:cs="Times New Roman"/>
          <w:sz w:val="24"/>
          <w:szCs w:val="24"/>
          <w:lang w:val="fr-FR"/>
        </w:rPr>
        <w:t xml:space="preserve">en veillant à </w:t>
      </w:r>
      <w:r w:rsidR="003F16F9" w:rsidRPr="0004134A">
        <w:rPr>
          <w:rFonts w:ascii="Times New Roman" w:hAnsi="Times New Roman" w:cs="Times New Roman"/>
          <w:sz w:val="24"/>
          <w:szCs w:val="24"/>
          <w:lang w:val="fr-FR"/>
        </w:rPr>
        <w:t>décentraliser cette activité au niveau local pour que les leaders locaux aient les capacités requises pour décentraliser les programmes nationaux par l’adaptation aux réalités locales</w:t>
      </w:r>
      <w:r w:rsidR="000578A9" w:rsidRPr="0004134A">
        <w:rPr>
          <w:rFonts w:ascii="Times New Roman" w:hAnsi="Times New Roman" w:cs="Times New Roman"/>
          <w:sz w:val="24"/>
          <w:szCs w:val="24"/>
          <w:lang w:val="fr-FR"/>
        </w:rPr>
        <w:t> ;</w:t>
      </w:r>
      <w:r w:rsidR="003F16F9" w:rsidRPr="0004134A">
        <w:rPr>
          <w:rFonts w:ascii="Times New Roman" w:hAnsi="Times New Roman" w:cs="Times New Roman"/>
          <w:sz w:val="24"/>
          <w:szCs w:val="24"/>
          <w:lang w:val="fr-FR"/>
        </w:rPr>
        <w:t xml:space="preserve"> </w:t>
      </w:r>
    </w:p>
    <w:p w14:paraId="77342B87" w14:textId="4A483747" w:rsidR="00DE1B54" w:rsidRPr="0004134A" w:rsidRDefault="00DE1B54" w:rsidP="00DE1B54">
      <w:pPr>
        <w:pStyle w:val="ListParagraph"/>
        <w:numPr>
          <w:ilvl w:val="0"/>
          <w:numId w:val="28"/>
        </w:numPr>
        <w:rPr>
          <w:rFonts w:ascii="Times New Roman" w:hAnsi="Times New Roman" w:cs="Times New Roman"/>
          <w:sz w:val="24"/>
          <w:szCs w:val="24"/>
          <w:lang w:val="fr-FR"/>
        </w:rPr>
      </w:pPr>
      <w:r w:rsidRPr="0004134A">
        <w:rPr>
          <w:rFonts w:ascii="Times New Roman" w:hAnsi="Times New Roman" w:cs="Times New Roman"/>
          <w:sz w:val="24"/>
          <w:szCs w:val="24"/>
          <w:lang w:val="fr-FR"/>
        </w:rPr>
        <w:t>La prise en compte des questions</w:t>
      </w:r>
      <w:r w:rsidR="005E4A32" w:rsidRPr="0004134A">
        <w:rPr>
          <w:rFonts w:ascii="Times New Roman" w:hAnsi="Times New Roman" w:cs="Times New Roman"/>
          <w:sz w:val="24"/>
          <w:szCs w:val="24"/>
          <w:lang w:val="fr-FR"/>
        </w:rPr>
        <w:t xml:space="preserve"> de</w:t>
      </w:r>
      <w:r w:rsidRPr="0004134A">
        <w:rPr>
          <w:rFonts w:ascii="Times New Roman" w:hAnsi="Times New Roman" w:cs="Times New Roman"/>
          <w:sz w:val="24"/>
          <w:szCs w:val="24"/>
          <w:lang w:val="fr-FR"/>
        </w:rPr>
        <w:t xml:space="preserve"> développement et de lutte contre la pauvreté comme des points d’entrée qui permettent d’aborder les enjeux de démocratisation</w:t>
      </w:r>
      <w:r w:rsidR="00126389" w:rsidRPr="0004134A">
        <w:rPr>
          <w:rFonts w:ascii="Times New Roman" w:hAnsi="Times New Roman" w:cs="Times New Roman"/>
          <w:sz w:val="24"/>
          <w:szCs w:val="24"/>
          <w:lang w:val="fr-FR"/>
        </w:rPr>
        <w:t xml:space="preserve"> inclusive, de gouvernance politique</w:t>
      </w:r>
      <w:r w:rsidRPr="0004134A">
        <w:rPr>
          <w:rFonts w:ascii="Times New Roman" w:hAnsi="Times New Roman" w:cs="Times New Roman"/>
          <w:sz w:val="24"/>
          <w:szCs w:val="24"/>
          <w:lang w:val="fr-FR"/>
        </w:rPr>
        <w:t xml:space="preserve"> et de consolidation de la paix</w:t>
      </w:r>
      <w:r w:rsidR="000578A9" w:rsidRPr="0004134A">
        <w:rPr>
          <w:rFonts w:ascii="Times New Roman" w:hAnsi="Times New Roman" w:cs="Times New Roman"/>
          <w:sz w:val="24"/>
          <w:szCs w:val="24"/>
          <w:lang w:val="fr-FR"/>
        </w:rPr>
        <w:t> ;</w:t>
      </w:r>
      <w:r w:rsidRPr="0004134A">
        <w:rPr>
          <w:rFonts w:ascii="Times New Roman" w:hAnsi="Times New Roman" w:cs="Times New Roman"/>
          <w:sz w:val="24"/>
          <w:szCs w:val="24"/>
          <w:lang w:val="fr-FR"/>
        </w:rPr>
        <w:t xml:space="preserve"> </w:t>
      </w:r>
    </w:p>
    <w:p w14:paraId="54D8608D" w14:textId="7FCD0C14" w:rsidR="003F16F9" w:rsidRPr="0004134A" w:rsidRDefault="00E70C90" w:rsidP="00D53074">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 xml:space="preserve">La </w:t>
      </w:r>
      <w:r w:rsidR="003F16F9" w:rsidRPr="0004134A">
        <w:rPr>
          <w:rFonts w:ascii="Times New Roman" w:hAnsi="Times New Roman" w:cs="Times New Roman"/>
          <w:sz w:val="24"/>
          <w:szCs w:val="24"/>
          <w:lang w:val="fr-FR"/>
        </w:rPr>
        <w:t>formation sur la préparation, le déroulement et l’observation des élections</w:t>
      </w:r>
      <w:r w:rsidR="005E4A32" w:rsidRPr="0004134A">
        <w:rPr>
          <w:rFonts w:ascii="Times New Roman" w:hAnsi="Times New Roman" w:cs="Times New Roman"/>
          <w:sz w:val="24"/>
          <w:szCs w:val="24"/>
          <w:lang w:val="fr-FR"/>
        </w:rPr>
        <w:t xml:space="preserve">, avec un focus </w:t>
      </w:r>
      <w:r w:rsidR="003F16F9" w:rsidRPr="0004134A">
        <w:rPr>
          <w:rFonts w:ascii="Times New Roman" w:hAnsi="Times New Roman" w:cs="Times New Roman"/>
          <w:sz w:val="24"/>
          <w:szCs w:val="24"/>
          <w:lang w:val="fr-FR"/>
        </w:rPr>
        <w:t>particuli</w:t>
      </w:r>
      <w:r w:rsidR="000578A9" w:rsidRPr="0004134A">
        <w:rPr>
          <w:rFonts w:ascii="Times New Roman" w:hAnsi="Times New Roman" w:cs="Times New Roman"/>
          <w:sz w:val="24"/>
          <w:szCs w:val="24"/>
          <w:lang w:val="fr-FR"/>
        </w:rPr>
        <w:t>er</w:t>
      </w:r>
      <w:r w:rsidR="003F16F9" w:rsidRPr="0004134A">
        <w:rPr>
          <w:rFonts w:ascii="Times New Roman" w:hAnsi="Times New Roman" w:cs="Times New Roman"/>
          <w:sz w:val="24"/>
          <w:szCs w:val="24"/>
          <w:lang w:val="fr-FR"/>
        </w:rPr>
        <w:t xml:space="preserve"> sur le niveau local</w:t>
      </w:r>
      <w:r w:rsidR="000578A9" w:rsidRPr="0004134A">
        <w:rPr>
          <w:rFonts w:ascii="Times New Roman" w:hAnsi="Times New Roman" w:cs="Times New Roman"/>
          <w:sz w:val="24"/>
          <w:szCs w:val="24"/>
          <w:lang w:val="fr-FR"/>
        </w:rPr>
        <w:t> ;</w:t>
      </w:r>
      <w:r w:rsidR="003F16F9" w:rsidRPr="0004134A">
        <w:rPr>
          <w:rFonts w:ascii="Times New Roman" w:hAnsi="Times New Roman" w:cs="Times New Roman"/>
          <w:sz w:val="24"/>
          <w:szCs w:val="24"/>
          <w:lang w:val="fr-FR"/>
        </w:rPr>
        <w:t xml:space="preserve"> </w:t>
      </w:r>
    </w:p>
    <w:p w14:paraId="64B3021D" w14:textId="77777777" w:rsidR="00915F12" w:rsidRPr="0004134A" w:rsidRDefault="003F16F9" w:rsidP="00A82914">
      <w:pPr>
        <w:pStyle w:val="ListParagraph"/>
        <w:numPr>
          <w:ilvl w:val="0"/>
          <w:numId w:val="28"/>
        </w:numPr>
        <w:jc w:val="both"/>
        <w:rPr>
          <w:rFonts w:ascii="Times New Roman" w:hAnsi="Times New Roman" w:cs="Times New Roman"/>
          <w:lang w:val="fr-FR"/>
        </w:rPr>
      </w:pPr>
      <w:r w:rsidRPr="0004134A">
        <w:rPr>
          <w:rFonts w:ascii="Times New Roman" w:hAnsi="Times New Roman" w:cs="Times New Roman"/>
          <w:sz w:val="24"/>
          <w:szCs w:val="24"/>
          <w:lang w:val="fr-FR"/>
        </w:rPr>
        <w:t xml:space="preserve">La mise en place et l’animation des sortes d’écoles de la démocratie, </w:t>
      </w:r>
      <w:r w:rsidR="008B6FC6" w:rsidRPr="0004134A">
        <w:rPr>
          <w:rFonts w:ascii="Times New Roman" w:hAnsi="Times New Roman" w:cs="Times New Roman"/>
          <w:sz w:val="24"/>
          <w:szCs w:val="24"/>
          <w:lang w:val="fr-FR"/>
        </w:rPr>
        <w:t xml:space="preserve">visant à </w:t>
      </w:r>
      <w:r w:rsidRPr="0004134A">
        <w:rPr>
          <w:rFonts w:ascii="Times New Roman" w:hAnsi="Times New Roman" w:cs="Times New Roman"/>
          <w:sz w:val="24"/>
          <w:szCs w:val="24"/>
          <w:lang w:val="fr-FR"/>
        </w:rPr>
        <w:t>accompagne</w:t>
      </w:r>
      <w:r w:rsidR="008B6FC6" w:rsidRPr="0004134A">
        <w:rPr>
          <w:rFonts w:ascii="Times New Roman" w:hAnsi="Times New Roman" w:cs="Times New Roman"/>
          <w:sz w:val="24"/>
          <w:szCs w:val="24"/>
          <w:lang w:val="fr-FR"/>
        </w:rPr>
        <w:t>r l</w:t>
      </w:r>
      <w:r w:rsidRPr="0004134A">
        <w:rPr>
          <w:rFonts w:ascii="Times New Roman" w:hAnsi="Times New Roman" w:cs="Times New Roman"/>
          <w:sz w:val="24"/>
          <w:szCs w:val="24"/>
          <w:lang w:val="fr-FR"/>
        </w:rPr>
        <w:t xml:space="preserve">es leaders émergents pour leur instiller certaines valeurs </w:t>
      </w:r>
      <w:r w:rsidR="008B6FC6" w:rsidRPr="0004134A">
        <w:rPr>
          <w:rFonts w:ascii="Times New Roman" w:hAnsi="Times New Roman" w:cs="Times New Roman"/>
          <w:sz w:val="24"/>
          <w:szCs w:val="24"/>
          <w:lang w:val="fr-FR"/>
        </w:rPr>
        <w:t>et ainsi</w:t>
      </w:r>
      <w:r w:rsidRPr="0004134A">
        <w:rPr>
          <w:rFonts w:ascii="Times New Roman" w:hAnsi="Times New Roman" w:cs="Times New Roman"/>
          <w:sz w:val="24"/>
          <w:szCs w:val="24"/>
          <w:lang w:val="fr-FR"/>
        </w:rPr>
        <w:t xml:space="preserve"> améliorer la qualité de l’action politique au Burundi</w:t>
      </w:r>
      <w:r w:rsidR="000578A9" w:rsidRPr="0004134A">
        <w:rPr>
          <w:rFonts w:ascii="Times New Roman" w:hAnsi="Times New Roman" w:cs="Times New Roman"/>
          <w:sz w:val="24"/>
          <w:szCs w:val="24"/>
          <w:lang w:val="fr-FR"/>
        </w:rPr>
        <w:t> ;</w:t>
      </w:r>
      <w:r w:rsidRPr="0004134A">
        <w:rPr>
          <w:rFonts w:ascii="Times New Roman" w:hAnsi="Times New Roman" w:cs="Times New Roman"/>
          <w:sz w:val="24"/>
          <w:szCs w:val="24"/>
          <w:lang w:val="fr-FR"/>
        </w:rPr>
        <w:t xml:space="preserve"> </w:t>
      </w:r>
    </w:p>
    <w:p w14:paraId="53616CB8" w14:textId="6A9400EA" w:rsidR="003F16F9" w:rsidRPr="0004134A" w:rsidRDefault="008B6FC6" w:rsidP="00064BF2">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w:t>
      </w:r>
      <w:r w:rsidR="003F16F9" w:rsidRPr="0004134A">
        <w:rPr>
          <w:rFonts w:ascii="Times New Roman" w:hAnsi="Times New Roman" w:cs="Times New Roman"/>
          <w:sz w:val="24"/>
          <w:szCs w:val="24"/>
          <w:lang w:val="fr-FR"/>
        </w:rPr>
        <w:t xml:space="preserve">e renforcement des capacités des acteurs politiques et des </w:t>
      </w:r>
      <w:r w:rsidR="00126389" w:rsidRPr="0004134A">
        <w:rPr>
          <w:rFonts w:ascii="Times New Roman" w:hAnsi="Times New Roman" w:cs="Times New Roman"/>
          <w:sz w:val="24"/>
          <w:szCs w:val="24"/>
          <w:lang w:val="fr-FR"/>
        </w:rPr>
        <w:t>leaders communautaires</w:t>
      </w:r>
      <w:r w:rsidR="003F16F9" w:rsidRPr="0004134A">
        <w:rPr>
          <w:rFonts w:ascii="Times New Roman" w:hAnsi="Times New Roman" w:cs="Times New Roman"/>
          <w:sz w:val="24"/>
          <w:szCs w:val="24"/>
          <w:lang w:val="fr-FR"/>
        </w:rPr>
        <w:t xml:space="preserve"> sur des thématiques techniques comme </w:t>
      </w:r>
      <w:r w:rsidR="00FE5808" w:rsidRPr="0004134A">
        <w:rPr>
          <w:rFonts w:ascii="Times New Roman" w:hAnsi="Times New Roman" w:cs="Times New Roman"/>
          <w:sz w:val="24"/>
          <w:szCs w:val="24"/>
          <w:lang w:val="fr-FR"/>
        </w:rPr>
        <w:t>la géopolitique et l’intégration régionale, la négociation internationale, les notions de leadership et de gestion organisationnelle, le travail politique dans des espaces politiques restreints</w:t>
      </w:r>
      <w:r w:rsidR="00915F12" w:rsidRPr="0004134A">
        <w:rPr>
          <w:rFonts w:ascii="Times New Roman" w:hAnsi="Times New Roman" w:cs="Times New Roman"/>
          <w:sz w:val="24"/>
          <w:szCs w:val="24"/>
          <w:lang w:val="fr-FR"/>
        </w:rPr>
        <w:t> ;</w:t>
      </w:r>
    </w:p>
    <w:p w14:paraId="5B94A9E1" w14:textId="30BE9210" w:rsidR="003F16F9" w:rsidRPr="0004134A" w:rsidRDefault="00C22CDC" w:rsidP="00D53074">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Le</w:t>
      </w:r>
      <w:r w:rsidR="003F16F9" w:rsidRPr="0004134A">
        <w:rPr>
          <w:rFonts w:ascii="Times New Roman" w:hAnsi="Times New Roman" w:cs="Times New Roman"/>
          <w:sz w:val="24"/>
          <w:szCs w:val="24"/>
          <w:lang w:val="fr-FR"/>
        </w:rPr>
        <w:t xml:space="preserve"> renforcement des capacités et l’accompagnement des jeunes et des femmes</w:t>
      </w:r>
      <w:r w:rsidRPr="0004134A">
        <w:rPr>
          <w:rFonts w:ascii="Times New Roman" w:hAnsi="Times New Roman" w:cs="Times New Roman"/>
          <w:sz w:val="24"/>
          <w:szCs w:val="24"/>
          <w:lang w:val="fr-FR"/>
        </w:rPr>
        <w:t>, dans le but d’a</w:t>
      </w:r>
      <w:r w:rsidR="003F16F9" w:rsidRPr="0004134A">
        <w:rPr>
          <w:rFonts w:ascii="Times New Roman" w:hAnsi="Times New Roman" w:cs="Times New Roman"/>
          <w:sz w:val="24"/>
          <w:szCs w:val="24"/>
          <w:lang w:val="fr-FR"/>
        </w:rPr>
        <w:t>ssaini</w:t>
      </w:r>
      <w:r w:rsidRPr="0004134A">
        <w:rPr>
          <w:rFonts w:ascii="Times New Roman" w:hAnsi="Times New Roman" w:cs="Times New Roman"/>
          <w:sz w:val="24"/>
          <w:szCs w:val="24"/>
          <w:lang w:val="fr-FR"/>
        </w:rPr>
        <w:t>r</w:t>
      </w:r>
      <w:r w:rsidR="003F16F9" w:rsidRPr="0004134A">
        <w:rPr>
          <w:rFonts w:ascii="Times New Roman" w:hAnsi="Times New Roman" w:cs="Times New Roman"/>
          <w:sz w:val="24"/>
          <w:szCs w:val="24"/>
          <w:lang w:val="fr-FR"/>
        </w:rPr>
        <w:t xml:space="preserve"> </w:t>
      </w:r>
      <w:r w:rsidRPr="0004134A">
        <w:rPr>
          <w:rFonts w:ascii="Times New Roman" w:hAnsi="Times New Roman" w:cs="Times New Roman"/>
          <w:sz w:val="24"/>
          <w:szCs w:val="24"/>
          <w:lang w:val="fr-FR"/>
        </w:rPr>
        <w:t>le</w:t>
      </w:r>
      <w:r w:rsidR="003F16F9" w:rsidRPr="0004134A">
        <w:rPr>
          <w:rFonts w:ascii="Times New Roman" w:hAnsi="Times New Roman" w:cs="Times New Roman"/>
          <w:sz w:val="24"/>
          <w:szCs w:val="24"/>
          <w:lang w:val="fr-FR"/>
        </w:rPr>
        <w:t xml:space="preserve"> climat politique</w:t>
      </w:r>
      <w:r w:rsidR="000578A9" w:rsidRPr="0004134A">
        <w:rPr>
          <w:rFonts w:ascii="Times New Roman" w:hAnsi="Times New Roman" w:cs="Times New Roman"/>
          <w:sz w:val="24"/>
          <w:szCs w:val="24"/>
          <w:lang w:val="fr-FR"/>
        </w:rPr>
        <w:t>,</w:t>
      </w:r>
      <w:r w:rsidR="003F16F9" w:rsidRPr="0004134A">
        <w:rPr>
          <w:rFonts w:ascii="Times New Roman" w:hAnsi="Times New Roman" w:cs="Times New Roman"/>
          <w:sz w:val="24"/>
          <w:szCs w:val="24"/>
          <w:lang w:val="fr-FR"/>
        </w:rPr>
        <w:t xml:space="preserve"> d’autant plus que les jeunes sont souvent acteurs des processus politiques conflictuels</w:t>
      </w:r>
      <w:r w:rsidR="000578A9" w:rsidRPr="0004134A">
        <w:rPr>
          <w:rFonts w:ascii="Times New Roman" w:hAnsi="Times New Roman" w:cs="Times New Roman"/>
          <w:sz w:val="24"/>
          <w:szCs w:val="24"/>
          <w:lang w:val="fr-FR"/>
        </w:rPr>
        <w:t> ;</w:t>
      </w:r>
    </w:p>
    <w:p w14:paraId="48B02ED2" w14:textId="7F58E2B5" w:rsidR="003F16F9" w:rsidRPr="0004134A" w:rsidRDefault="00DE1B54" w:rsidP="00785525">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Réflexion sur le r</w:t>
      </w:r>
      <w:r w:rsidR="003F16F9" w:rsidRPr="0004134A">
        <w:rPr>
          <w:rFonts w:ascii="Times New Roman" w:hAnsi="Times New Roman" w:cs="Times New Roman"/>
          <w:sz w:val="24"/>
          <w:szCs w:val="24"/>
          <w:lang w:val="fr-FR"/>
        </w:rPr>
        <w:t xml:space="preserve">approchement des programmes politiques des partis </w:t>
      </w:r>
      <w:r w:rsidR="00AC2EFB" w:rsidRPr="0004134A">
        <w:rPr>
          <w:rFonts w:ascii="Times New Roman" w:hAnsi="Times New Roman" w:cs="Times New Roman"/>
          <w:sz w:val="24"/>
          <w:szCs w:val="24"/>
          <w:lang w:val="fr-FR"/>
        </w:rPr>
        <w:t xml:space="preserve">politiques </w:t>
      </w:r>
      <w:r w:rsidR="003F16F9" w:rsidRPr="0004134A">
        <w:rPr>
          <w:rFonts w:ascii="Times New Roman" w:hAnsi="Times New Roman" w:cs="Times New Roman"/>
          <w:sz w:val="24"/>
          <w:szCs w:val="24"/>
          <w:lang w:val="fr-FR"/>
        </w:rPr>
        <w:t>en vue d</w:t>
      </w:r>
      <w:r w:rsidR="00AC2EFB" w:rsidRPr="0004134A">
        <w:rPr>
          <w:rFonts w:ascii="Times New Roman" w:hAnsi="Times New Roman" w:cs="Times New Roman"/>
          <w:sz w:val="24"/>
          <w:szCs w:val="24"/>
          <w:lang w:val="fr-FR"/>
        </w:rPr>
        <w:t>’</w:t>
      </w:r>
      <w:r w:rsidR="003F16F9" w:rsidRPr="0004134A">
        <w:rPr>
          <w:rFonts w:ascii="Times New Roman" w:hAnsi="Times New Roman" w:cs="Times New Roman"/>
          <w:sz w:val="24"/>
          <w:szCs w:val="24"/>
          <w:lang w:val="fr-FR"/>
        </w:rPr>
        <w:t>e</w:t>
      </w:r>
      <w:r w:rsidR="00AC2EFB" w:rsidRPr="0004134A">
        <w:rPr>
          <w:rFonts w:ascii="Times New Roman" w:hAnsi="Times New Roman" w:cs="Times New Roman"/>
          <w:sz w:val="24"/>
          <w:szCs w:val="24"/>
          <w:lang w:val="fr-FR"/>
        </w:rPr>
        <w:t>n</w:t>
      </w:r>
      <w:r w:rsidR="003F16F9" w:rsidRPr="0004134A">
        <w:rPr>
          <w:rFonts w:ascii="Times New Roman" w:hAnsi="Times New Roman" w:cs="Times New Roman"/>
          <w:sz w:val="24"/>
          <w:szCs w:val="24"/>
          <w:lang w:val="fr-FR"/>
        </w:rPr>
        <w:t xml:space="preserve"> réduire le nombre </w:t>
      </w:r>
      <w:r w:rsidR="00AC2EFB" w:rsidRPr="0004134A">
        <w:rPr>
          <w:rFonts w:ascii="Times New Roman" w:hAnsi="Times New Roman" w:cs="Times New Roman"/>
          <w:sz w:val="24"/>
          <w:szCs w:val="24"/>
          <w:lang w:val="fr-FR"/>
        </w:rPr>
        <w:t>sur le long terme</w:t>
      </w:r>
      <w:r w:rsidR="00785525" w:rsidRPr="0004134A">
        <w:rPr>
          <w:rFonts w:ascii="Times New Roman" w:hAnsi="Times New Roman" w:cs="Times New Roman"/>
          <w:sz w:val="24"/>
          <w:szCs w:val="24"/>
          <w:lang w:val="fr-FR"/>
        </w:rPr>
        <w:t xml:space="preserve"> et m</w:t>
      </w:r>
      <w:r w:rsidR="003F16F9" w:rsidRPr="0004134A">
        <w:rPr>
          <w:rFonts w:ascii="Times New Roman" w:hAnsi="Times New Roman" w:cs="Times New Roman"/>
          <w:sz w:val="24"/>
          <w:szCs w:val="24"/>
          <w:lang w:val="fr-FR"/>
        </w:rPr>
        <w:t>ultipli</w:t>
      </w:r>
      <w:r w:rsidR="00785525" w:rsidRPr="0004134A">
        <w:rPr>
          <w:rFonts w:ascii="Times New Roman" w:hAnsi="Times New Roman" w:cs="Times New Roman"/>
          <w:sz w:val="24"/>
          <w:szCs w:val="24"/>
          <w:lang w:val="fr-FR"/>
        </w:rPr>
        <w:t xml:space="preserve">cation des </w:t>
      </w:r>
      <w:r w:rsidR="003F16F9" w:rsidRPr="0004134A">
        <w:rPr>
          <w:rFonts w:ascii="Times New Roman" w:hAnsi="Times New Roman" w:cs="Times New Roman"/>
          <w:sz w:val="24"/>
          <w:szCs w:val="24"/>
          <w:lang w:val="fr-FR"/>
        </w:rPr>
        <w:t>séances internes à chaque parti politique pour permettre aux membres d’aborder librement non seulement les aspects programmatiques mais aussi les questions sensibles de démocratie interne et de développement organisationnel</w:t>
      </w:r>
      <w:r w:rsidR="000578A9" w:rsidRPr="0004134A">
        <w:rPr>
          <w:rFonts w:ascii="Times New Roman" w:hAnsi="Times New Roman" w:cs="Times New Roman"/>
          <w:sz w:val="24"/>
          <w:szCs w:val="24"/>
          <w:lang w:val="fr-FR"/>
        </w:rPr>
        <w:t> ;</w:t>
      </w:r>
    </w:p>
    <w:p w14:paraId="58CA725C" w14:textId="77777777" w:rsidR="00717BA6" w:rsidRPr="0004134A" w:rsidRDefault="00D51C7D" w:rsidP="000578A9">
      <w:pPr>
        <w:pStyle w:val="ListParagraph"/>
        <w:numPr>
          <w:ilvl w:val="0"/>
          <w:numId w:val="28"/>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Organisation des visites d’é</w:t>
      </w:r>
      <w:r w:rsidR="000578A9" w:rsidRPr="0004134A">
        <w:rPr>
          <w:rFonts w:ascii="Times New Roman" w:hAnsi="Times New Roman" w:cs="Times New Roman"/>
          <w:sz w:val="24"/>
          <w:szCs w:val="24"/>
          <w:lang w:val="fr-FR"/>
        </w:rPr>
        <w:t>change d’expériences positives dans la région</w:t>
      </w:r>
    </w:p>
    <w:p w14:paraId="2544B1B9" w14:textId="37FC7060" w:rsidR="000578A9" w:rsidRPr="0004134A" w:rsidRDefault="00717BA6" w:rsidP="00B54612">
      <w:pPr>
        <w:ind w:left="708"/>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Les conclusions de ces deux études confirment globalement les choix d’intervention opérés par NIMD mais aussi pourront servir de gouvernail pour certaines actions telles que les thèmes de formation à l’endroit des partis politique, le focus sur le niveau local, la construction d’alliances, notamment avec l’Eglise Catholique</w:t>
      </w:r>
      <w:r w:rsidR="00B54612" w:rsidRPr="0004134A">
        <w:rPr>
          <w:rFonts w:ascii="Times New Roman" w:hAnsi="Times New Roman" w:cs="Times New Roman"/>
          <w:sz w:val="24"/>
          <w:szCs w:val="24"/>
          <w:lang w:val="fr-FR"/>
        </w:rPr>
        <w:t>,</w:t>
      </w:r>
      <w:r w:rsidRPr="0004134A">
        <w:rPr>
          <w:rFonts w:ascii="Times New Roman" w:hAnsi="Times New Roman" w:cs="Times New Roman"/>
          <w:sz w:val="24"/>
          <w:szCs w:val="24"/>
          <w:lang w:val="fr-FR"/>
        </w:rPr>
        <w:t xml:space="preserve"> ou </w:t>
      </w:r>
      <w:r w:rsidR="00B54612" w:rsidRPr="0004134A">
        <w:rPr>
          <w:rFonts w:ascii="Times New Roman" w:hAnsi="Times New Roman" w:cs="Times New Roman"/>
          <w:sz w:val="24"/>
          <w:szCs w:val="24"/>
          <w:lang w:val="fr-FR"/>
        </w:rPr>
        <w:t xml:space="preserve">l’accompagnement de leaders émergeant sous forme d’écoles de la démocratie. </w:t>
      </w:r>
    </w:p>
    <w:p w14:paraId="51C703D7" w14:textId="77777777" w:rsidR="003F16F9" w:rsidRPr="0004134A" w:rsidRDefault="003F16F9" w:rsidP="00D53074">
      <w:pPr>
        <w:spacing w:after="0"/>
        <w:jc w:val="both"/>
        <w:rPr>
          <w:rFonts w:ascii="Times New Roman" w:hAnsi="Times New Roman" w:cs="Times New Roman"/>
          <w:bCs/>
          <w:sz w:val="24"/>
          <w:szCs w:val="24"/>
          <w:lang w:val="fr-FR"/>
        </w:rPr>
      </w:pPr>
    </w:p>
    <w:p w14:paraId="70E9658D" w14:textId="3ACBC9DE" w:rsidR="00154607" w:rsidRPr="0004134A" w:rsidRDefault="00C13A3F"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w:t>
      </w:r>
      <w:r w:rsidR="00AE74A8" w:rsidRPr="0004134A">
        <w:rPr>
          <w:rFonts w:ascii="Times New Roman" w:hAnsi="Times New Roman" w:cs="Times New Roman"/>
          <w:b/>
          <w:sz w:val="24"/>
          <w:szCs w:val="24"/>
          <w:lang w:val="fr-FR"/>
        </w:rPr>
        <w:t>Plaidoyer pour une meilleure participation politiques des jeunes et des femmes</w:t>
      </w:r>
    </w:p>
    <w:p w14:paraId="512B6BB9" w14:textId="5210F9B8" w:rsidR="008B6FC6" w:rsidRPr="0004134A" w:rsidRDefault="008B6FC6" w:rsidP="00D53074">
      <w:pPr>
        <w:spacing w:after="0"/>
        <w:jc w:val="both"/>
        <w:rPr>
          <w:rFonts w:ascii="Times New Roman" w:hAnsi="Times New Roman" w:cs="Times New Roman"/>
          <w:b/>
          <w:sz w:val="24"/>
          <w:szCs w:val="24"/>
          <w:lang w:val="fr-FR"/>
        </w:rPr>
      </w:pPr>
    </w:p>
    <w:p w14:paraId="7048DBC3" w14:textId="1C3B7504" w:rsidR="00153FF1" w:rsidRPr="0004134A" w:rsidRDefault="00201BDD" w:rsidP="00724ADD">
      <w:pPr>
        <w:pStyle w:val="NoSpacing"/>
        <w:spacing w:line="276" w:lineRule="auto"/>
        <w:ind w:left="720"/>
        <w:jc w:val="both"/>
        <w:rPr>
          <w:rFonts w:ascii="Times New Roman" w:hAnsi="Times New Roman" w:cs="Times New Roman"/>
          <w:sz w:val="24"/>
          <w:szCs w:val="24"/>
        </w:rPr>
      </w:pPr>
      <w:r w:rsidRPr="0004134A">
        <w:rPr>
          <w:rFonts w:ascii="Times New Roman" w:hAnsi="Times New Roman" w:cs="Times New Roman"/>
          <w:sz w:val="24"/>
          <w:szCs w:val="24"/>
        </w:rPr>
        <w:t>Dans le cadre du plaidoyer en faveur d’une participation politique plus accrue des jeunes et des femmes,</w:t>
      </w:r>
      <w:r w:rsidR="00724ADD" w:rsidRPr="0004134A">
        <w:rPr>
          <w:rFonts w:ascii="Times New Roman" w:hAnsi="Times New Roman" w:cs="Times New Roman"/>
          <w:sz w:val="24"/>
          <w:szCs w:val="24"/>
        </w:rPr>
        <w:t xml:space="preserve"> en qualité et en quantité,</w:t>
      </w:r>
      <w:r w:rsidRPr="0004134A">
        <w:rPr>
          <w:rFonts w:ascii="Times New Roman" w:hAnsi="Times New Roman" w:cs="Times New Roman"/>
          <w:sz w:val="24"/>
          <w:szCs w:val="24"/>
        </w:rPr>
        <w:t xml:space="preserve"> NIMD a sélectionné deux organisations locales pour mettre en œuvre les activités y relatives, notamment l’Association des Femmes Rapatriées du Burundi « AFRABU » pour faire le plaidoyer en faveur de l'intégration de la dimension genre au sein des partis politiques et pour une meilleure participation de la femme dans les réformes politiques et électorales en vue des élections de 2025-2027 et l’Association des Parlementaires du Burundi « APB » pour le plaidoyer en vue de changer certains articles du code électoral et de la loi portant réorganisation de l’administration communale non favorables à la transparence électorale, aux élections démocratiques crédibles et à la participation des jeunes et des femmes. </w:t>
      </w:r>
    </w:p>
    <w:p w14:paraId="5676504E" w14:textId="13F3B12E" w:rsidR="00201BDD" w:rsidRPr="0004134A" w:rsidRDefault="00201BDD" w:rsidP="00D53074">
      <w:pPr>
        <w:spacing w:after="0"/>
        <w:jc w:val="both"/>
        <w:rPr>
          <w:rFonts w:ascii="Times New Roman" w:hAnsi="Times New Roman" w:cs="Times New Roman"/>
          <w:bCs/>
          <w:sz w:val="24"/>
          <w:szCs w:val="24"/>
          <w:lang w:val="fr-FR"/>
        </w:rPr>
      </w:pPr>
    </w:p>
    <w:p w14:paraId="06E0FA52" w14:textId="3F46525A" w:rsidR="00201BDD" w:rsidRPr="0004134A" w:rsidRDefault="00AA0C6C"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Dans la perspective électorale </w:t>
      </w:r>
      <w:r w:rsidR="00771EE3" w:rsidRPr="0004134A">
        <w:rPr>
          <w:rFonts w:ascii="Times New Roman" w:hAnsi="Times New Roman" w:cs="Times New Roman"/>
          <w:bCs/>
          <w:sz w:val="24"/>
          <w:szCs w:val="24"/>
          <w:lang w:val="fr-FR"/>
        </w:rPr>
        <w:t>2025</w:t>
      </w:r>
      <w:r w:rsidRPr="0004134A">
        <w:rPr>
          <w:rFonts w:ascii="Times New Roman" w:hAnsi="Times New Roman" w:cs="Times New Roman"/>
          <w:bCs/>
          <w:sz w:val="24"/>
          <w:szCs w:val="24"/>
          <w:lang w:val="fr-FR"/>
        </w:rPr>
        <w:t>-2027, le Burundi a engagé des réformes visant à revoir le code électoral et la loi portant réorganisation de l’administration communale en vue de les adapter à la nouvelle configuration territoriale ayant réduit le nombre de provinces</w:t>
      </w:r>
      <w:r w:rsidR="00D4066E" w:rsidRPr="0004134A">
        <w:rPr>
          <w:rFonts w:ascii="Times New Roman" w:hAnsi="Times New Roman" w:cs="Times New Roman"/>
          <w:bCs/>
          <w:sz w:val="24"/>
          <w:szCs w:val="24"/>
          <w:lang w:val="fr-FR"/>
        </w:rPr>
        <w:t xml:space="preserve"> de dix-huit</w:t>
      </w:r>
      <w:r w:rsidRPr="0004134A">
        <w:rPr>
          <w:rFonts w:ascii="Times New Roman" w:hAnsi="Times New Roman" w:cs="Times New Roman"/>
          <w:bCs/>
          <w:sz w:val="24"/>
          <w:szCs w:val="24"/>
          <w:lang w:val="fr-FR"/>
        </w:rPr>
        <w:t xml:space="preserve"> à cinq et les communes</w:t>
      </w:r>
      <w:r w:rsidR="00D4066E" w:rsidRPr="0004134A">
        <w:rPr>
          <w:rFonts w:ascii="Times New Roman" w:hAnsi="Times New Roman" w:cs="Times New Roman"/>
          <w:bCs/>
          <w:sz w:val="24"/>
          <w:szCs w:val="24"/>
          <w:lang w:val="fr-FR"/>
        </w:rPr>
        <w:t xml:space="preserve"> de cent dix-neuf </w:t>
      </w:r>
      <w:r w:rsidRPr="0004134A">
        <w:rPr>
          <w:rFonts w:ascii="Times New Roman" w:hAnsi="Times New Roman" w:cs="Times New Roman"/>
          <w:bCs/>
          <w:sz w:val="24"/>
          <w:szCs w:val="24"/>
          <w:lang w:val="fr-FR"/>
        </w:rPr>
        <w:t xml:space="preserve">à quarante-deux, sans oublier la révision du nombre de zones et de collines/quartiers. Cela offre donc une opportunité </w:t>
      </w:r>
      <w:r w:rsidR="001E1B78" w:rsidRPr="0004134A">
        <w:rPr>
          <w:rFonts w:ascii="Times New Roman" w:hAnsi="Times New Roman" w:cs="Times New Roman"/>
          <w:bCs/>
          <w:sz w:val="24"/>
          <w:szCs w:val="24"/>
          <w:lang w:val="fr-FR"/>
        </w:rPr>
        <w:t xml:space="preserve">pour </w:t>
      </w:r>
      <w:r w:rsidRPr="0004134A">
        <w:rPr>
          <w:rFonts w:ascii="Times New Roman" w:hAnsi="Times New Roman" w:cs="Times New Roman"/>
          <w:bCs/>
          <w:sz w:val="24"/>
          <w:szCs w:val="24"/>
          <w:lang w:val="fr-FR"/>
        </w:rPr>
        <w:t xml:space="preserve">que les nouveaux textes </w:t>
      </w:r>
      <w:r w:rsidR="001E1B78" w:rsidRPr="0004134A">
        <w:rPr>
          <w:rFonts w:ascii="Times New Roman" w:hAnsi="Times New Roman" w:cs="Times New Roman"/>
          <w:bCs/>
          <w:sz w:val="24"/>
          <w:szCs w:val="24"/>
          <w:lang w:val="fr-FR"/>
        </w:rPr>
        <w:t xml:space="preserve">soient le plus inclusifs possible en matière d’intégration des jeunes et du genre.   </w:t>
      </w:r>
      <w:r w:rsidRPr="0004134A">
        <w:rPr>
          <w:rFonts w:ascii="Times New Roman" w:hAnsi="Times New Roman" w:cs="Times New Roman"/>
          <w:bCs/>
          <w:sz w:val="24"/>
          <w:szCs w:val="24"/>
          <w:lang w:val="fr-FR"/>
        </w:rPr>
        <w:t xml:space="preserve"> </w:t>
      </w:r>
    </w:p>
    <w:p w14:paraId="5722B0BE" w14:textId="68E33F57" w:rsidR="001E1B78" w:rsidRPr="0004134A" w:rsidRDefault="001E1B78" w:rsidP="00D53074">
      <w:pPr>
        <w:spacing w:after="0"/>
        <w:jc w:val="both"/>
        <w:rPr>
          <w:rFonts w:ascii="Times New Roman" w:hAnsi="Times New Roman" w:cs="Times New Roman"/>
          <w:bCs/>
          <w:sz w:val="24"/>
          <w:szCs w:val="24"/>
          <w:lang w:val="fr-FR"/>
        </w:rPr>
      </w:pPr>
    </w:p>
    <w:p w14:paraId="71AED157" w14:textId="36BBA922" w:rsidR="001E1B78" w:rsidRPr="0004134A" w:rsidRDefault="001E1B78"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Les sous-activités y relatives comprennent notamment la relecture critique des textes existants, la production d’un document de plaidoyer, la sensibilisation des principaux acteurs au niveau de la chaine législative, le suivi de l’intégration des recommandations et de leur mise en œuvre par les acteurs et décideurs politiques.</w:t>
      </w:r>
      <w:r w:rsidR="00893468" w:rsidRPr="0004134A">
        <w:rPr>
          <w:rFonts w:ascii="Times New Roman" w:hAnsi="Times New Roman" w:cs="Times New Roman"/>
          <w:bCs/>
          <w:sz w:val="24"/>
          <w:szCs w:val="24"/>
          <w:lang w:val="fr-FR"/>
        </w:rPr>
        <w:t xml:space="preserve"> Le contrat liant NIMD et l’APB pour l’exécution de ces activités a été signé le 04/12/2023 et les </w:t>
      </w:r>
      <w:r w:rsidRPr="0004134A">
        <w:rPr>
          <w:rFonts w:ascii="Times New Roman" w:hAnsi="Times New Roman" w:cs="Times New Roman"/>
          <w:bCs/>
          <w:sz w:val="24"/>
          <w:szCs w:val="24"/>
          <w:lang w:val="fr-FR"/>
        </w:rPr>
        <w:t>résultats d</w:t>
      </w:r>
      <w:r w:rsidR="007A3170" w:rsidRPr="0004134A">
        <w:rPr>
          <w:rFonts w:ascii="Times New Roman" w:hAnsi="Times New Roman" w:cs="Times New Roman"/>
          <w:bCs/>
          <w:sz w:val="24"/>
          <w:szCs w:val="24"/>
          <w:lang w:val="fr-FR"/>
        </w:rPr>
        <w:t>e ce</w:t>
      </w:r>
      <w:r w:rsidRPr="0004134A">
        <w:rPr>
          <w:rFonts w:ascii="Times New Roman" w:hAnsi="Times New Roman" w:cs="Times New Roman"/>
          <w:bCs/>
          <w:sz w:val="24"/>
          <w:szCs w:val="24"/>
          <w:lang w:val="fr-FR"/>
        </w:rPr>
        <w:t xml:space="preserve"> plaidoyer sont attendus </w:t>
      </w:r>
      <w:r w:rsidR="007A3170" w:rsidRPr="0004134A">
        <w:rPr>
          <w:rFonts w:ascii="Times New Roman" w:hAnsi="Times New Roman" w:cs="Times New Roman"/>
          <w:bCs/>
          <w:sz w:val="24"/>
          <w:szCs w:val="24"/>
          <w:lang w:val="fr-FR"/>
        </w:rPr>
        <w:t xml:space="preserve">au bout du processus législatif </w:t>
      </w:r>
      <w:r w:rsidR="00717BA6" w:rsidRPr="0004134A">
        <w:rPr>
          <w:rFonts w:ascii="Times New Roman" w:hAnsi="Times New Roman" w:cs="Times New Roman"/>
          <w:bCs/>
          <w:sz w:val="24"/>
          <w:szCs w:val="24"/>
          <w:lang w:val="fr-FR"/>
        </w:rPr>
        <w:t xml:space="preserve">en 2024 </w:t>
      </w:r>
      <w:r w:rsidR="007A3170" w:rsidRPr="0004134A">
        <w:rPr>
          <w:rFonts w:ascii="Times New Roman" w:hAnsi="Times New Roman" w:cs="Times New Roman"/>
          <w:bCs/>
          <w:sz w:val="24"/>
          <w:szCs w:val="24"/>
          <w:lang w:val="fr-FR"/>
        </w:rPr>
        <w:t>avec l’adoption des deux lois mais aussi au niveau de l’établissements des listes des candidats pendant les élections parlementaires et locales.</w:t>
      </w:r>
      <w:r w:rsidRPr="0004134A">
        <w:rPr>
          <w:rFonts w:ascii="Times New Roman" w:hAnsi="Times New Roman" w:cs="Times New Roman"/>
          <w:bCs/>
          <w:sz w:val="24"/>
          <w:szCs w:val="24"/>
          <w:lang w:val="fr-FR"/>
        </w:rPr>
        <w:t xml:space="preserve"> </w:t>
      </w:r>
    </w:p>
    <w:p w14:paraId="645B42ED" w14:textId="3EE0D271" w:rsidR="00D4066E" w:rsidRPr="0004134A" w:rsidRDefault="00D4066E" w:rsidP="00724ADD">
      <w:pPr>
        <w:pStyle w:val="ListParagraph"/>
        <w:spacing w:after="0"/>
        <w:jc w:val="both"/>
        <w:rPr>
          <w:rFonts w:ascii="Times New Roman" w:hAnsi="Times New Roman" w:cs="Times New Roman"/>
          <w:bCs/>
          <w:sz w:val="24"/>
          <w:szCs w:val="24"/>
          <w:lang w:val="fr-FR"/>
        </w:rPr>
      </w:pPr>
    </w:p>
    <w:p w14:paraId="753617D3" w14:textId="1D2C1E98" w:rsidR="00154607" w:rsidRPr="0004134A" w:rsidRDefault="008F7891"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Pro</w:t>
      </w:r>
      <w:r w:rsidR="00AE74A8" w:rsidRPr="0004134A">
        <w:rPr>
          <w:rFonts w:ascii="Times New Roman" w:hAnsi="Times New Roman" w:cs="Times New Roman"/>
          <w:b/>
          <w:sz w:val="24"/>
          <w:szCs w:val="24"/>
          <w:lang w:val="fr-FR"/>
        </w:rPr>
        <w:t>motion du dialogue intergénérationnel</w:t>
      </w:r>
    </w:p>
    <w:p w14:paraId="08AFB960" w14:textId="20649132" w:rsidR="008B6FC6" w:rsidRPr="0004134A" w:rsidRDefault="008B6FC6" w:rsidP="00D53074">
      <w:pPr>
        <w:spacing w:after="0"/>
        <w:jc w:val="both"/>
        <w:rPr>
          <w:rFonts w:ascii="Times New Roman" w:hAnsi="Times New Roman" w:cs="Times New Roman"/>
          <w:b/>
          <w:sz w:val="24"/>
          <w:szCs w:val="24"/>
          <w:lang w:val="fr-FR"/>
        </w:rPr>
      </w:pPr>
    </w:p>
    <w:p w14:paraId="7A626862" w14:textId="2C4B6AFE" w:rsidR="002D23E9" w:rsidRPr="0004134A" w:rsidRDefault="007C2F3D" w:rsidP="00724ADD">
      <w:pPr>
        <w:pStyle w:val="ListParagraph"/>
        <w:jc w:val="both"/>
        <w:rPr>
          <w:rFonts w:ascii="Times New Roman" w:hAnsi="Times New Roman" w:cs="Times New Roman"/>
          <w:i/>
          <w:iCs/>
          <w:sz w:val="24"/>
          <w:szCs w:val="24"/>
          <w:lang w:val="fr-FR"/>
        </w:rPr>
      </w:pPr>
      <w:r w:rsidRPr="0004134A">
        <w:rPr>
          <w:rFonts w:ascii="Times New Roman" w:hAnsi="Times New Roman" w:cs="Times New Roman"/>
          <w:sz w:val="24"/>
          <w:szCs w:val="24"/>
          <w:lang w:val="fr-FR"/>
        </w:rPr>
        <w:t>Organisées à travers le partenariat NIMD-CENAP, l</w:t>
      </w:r>
      <w:r w:rsidR="00E42111" w:rsidRPr="0004134A">
        <w:rPr>
          <w:rFonts w:ascii="Times New Roman" w:hAnsi="Times New Roman" w:cs="Times New Roman"/>
          <w:sz w:val="24"/>
          <w:szCs w:val="24"/>
          <w:lang w:val="fr-FR"/>
        </w:rPr>
        <w:t>es sessions de dialogue intergénérationnel constituent des cadres d’échanges sous forme de panels afin de faire rencontrer des personnes aux profils divers ayant des expériences enrichissantes à partager avec les nouvelles générations constituées de jeunes hommes et femmes afin que le passé puisse réellement contribuer à préparer l’avenir</w:t>
      </w:r>
      <w:r w:rsidR="00E42111" w:rsidRPr="0004134A">
        <w:rPr>
          <w:rFonts w:ascii="Times New Roman" w:hAnsi="Times New Roman" w:cs="Times New Roman"/>
          <w:i/>
          <w:iCs/>
          <w:sz w:val="24"/>
          <w:szCs w:val="24"/>
          <w:lang w:val="fr-FR"/>
        </w:rPr>
        <w:t>.</w:t>
      </w:r>
    </w:p>
    <w:p w14:paraId="6454619F" w14:textId="77777777" w:rsidR="002D23E9" w:rsidRPr="0004134A" w:rsidRDefault="002D23E9" w:rsidP="00D53074">
      <w:pPr>
        <w:pStyle w:val="ListParagraph"/>
        <w:jc w:val="both"/>
        <w:rPr>
          <w:rFonts w:ascii="Times New Roman" w:hAnsi="Times New Roman" w:cs="Times New Roman"/>
          <w:i/>
          <w:iCs/>
          <w:sz w:val="24"/>
          <w:szCs w:val="24"/>
          <w:lang w:val="fr-FR"/>
        </w:rPr>
      </w:pPr>
    </w:p>
    <w:p w14:paraId="15459D74" w14:textId="2BDBFBE8" w:rsidR="00E42111" w:rsidRPr="0004134A" w:rsidRDefault="00E42111" w:rsidP="00724ADD">
      <w:pPr>
        <w:pStyle w:val="ListParagraph"/>
        <w:jc w:val="both"/>
        <w:rPr>
          <w:rFonts w:ascii="Times New Roman" w:hAnsi="Times New Roman" w:cs="Times New Roman"/>
          <w:i/>
          <w:iCs/>
          <w:sz w:val="24"/>
          <w:szCs w:val="24"/>
          <w:lang w:val="fr-FR"/>
        </w:rPr>
      </w:pPr>
      <w:r w:rsidRPr="0004134A">
        <w:rPr>
          <w:rFonts w:ascii="Times New Roman" w:hAnsi="Times New Roman" w:cs="Times New Roman"/>
          <w:sz w:val="24"/>
          <w:szCs w:val="24"/>
          <w:lang w:val="fr-FR"/>
        </w:rPr>
        <w:t xml:space="preserve">Les jeunes aspirants politiques font </w:t>
      </w:r>
      <w:r w:rsidR="007C2F3D" w:rsidRPr="0004134A">
        <w:rPr>
          <w:rFonts w:ascii="Times New Roman" w:hAnsi="Times New Roman" w:cs="Times New Roman"/>
          <w:sz w:val="24"/>
          <w:szCs w:val="24"/>
          <w:lang w:val="fr-FR"/>
        </w:rPr>
        <w:t xml:space="preserve">en effet </w:t>
      </w:r>
      <w:r w:rsidRPr="0004134A">
        <w:rPr>
          <w:rFonts w:ascii="Times New Roman" w:hAnsi="Times New Roman" w:cs="Times New Roman"/>
          <w:sz w:val="24"/>
          <w:szCs w:val="24"/>
          <w:lang w:val="fr-FR"/>
        </w:rPr>
        <w:t xml:space="preserve">face à diverses sollicitations de la part des aînés qui parfois les utilisent pour leurs propres intérêts et non pour l’intérêt général. Certains jeunes s’engagent en politique avec des motivations autres que servir l’intérêt général. Il est stratégique d’encourager, à travers des dialogues intergénérationnels, les jeunes à développer un esprit critique, à s’engager politiquement sur la base des choix réfléchis et judicieux en s’inspirant notamment des aînés qui ont su marquer leur parcours socio-politique par des valeurs positives et une éthique politique remarquables.  </w:t>
      </w:r>
      <w:r w:rsidR="00B62F90" w:rsidRPr="0004134A">
        <w:rPr>
          <w:rFonts w:ascii="Times New Roman" w:hAnsi="Times New Roman" w:cs="Times New Roman"/>
          <w:sz w:val="24"/>
          <w:szCs w:val="24"/>
        </w:rPr>
        <w:t>Ansi</w:t>
      </w:r>
      <w:r w:rsidRPr="0004134A">
        <w:rPr>
          <w:rFonts w:ascii="Times New Roman" w:hAnsi="Times New Roman" w:cs="Times New Roman"/>
          <w:sz w:val="24"/>
          <w:szCs w:val="24"/>
        </w:rPr>
        <w:t xml:space="preserve">, les </w:t>
      </w:r>
      <w:proofErr w:type="spellStart"/>
      <w:r w:rsidRPr="0004134A">
        <w:rPr>
          <w:rFonts w:ascii="Times New Roman" w:hAnsi="Times New Roman" w:cs="Times New Roman"/>
          <w:sz w:val="24"/>
          <w:szCs w:val="24"/>
        </w:rPr>
        <w:t>objectifs</w:t>
      </w:r>
      <w:proofErr w:type="spellEnd"/>
      <w:r w:rsidRPr="0004134A">
        <w:rPr>
          <w:rFonts w:ascii="Times New Roman" w:hAnsi="Times New Roman" w:cs="Times New Roman"/>
          <w:sz w:val="24"/>
          <w:szCs w:val="24"/>
        </w:rPr>
        <w:t xml:space="preserve"> des séances de dialogue </w:t>
      </w:r>
      <w:proofErr w:type="spellStart"/>
      <w:r w:rsidRPr="0004134A">
        <w:rPr>
          <w:rFonts w:ascii="Times New Roman" w:hAnsi="Times New Roman" w:cs="Times New Roman"/>
          <w:sz w:val="24"/>
          <w:szCs w:val="24"/>
        </w:rPr>
        <w:t>intergénérationnel</w:t>
      </w:r>
      <w:proofErr w:type="spellEnd"/>
      <w:r w:rsidRPr="0004134A">
        <w:rPr>
          <w:rFonts w:ascii="Times New Roman" w:hAnsi="Times New Roman" w:cs="Times New Roman"/>
          <w:sz w:val="24"/>
          <w:szCs w:val="24"/>
        </w:rPr>
        <w:t xml:space="preserve"> </w:t>
      </w:r>
      <w:proofErr w:type="spellStart"/>
      <w:r w:rsidRPr="0004134A">
        <w:rPr>
          <w:rFonts w:ascii="Times New Roman" w:hAnsi="Times New Roman" w:cs="Times New Roman"/>
          <w:sz w:val="24"/>
          <w:szCs w:val="24"/>
        </w:rPr>
        <w:t>sont</w:t>
      </w:r>
      <w:proofErr w:type="spellEnd"/>
      <w:r w:rsidRPr="0004134A">
        <w:rPr>
          <w:rFonts w:ascii="Times New Roman" w:hAnsi="Times New Roman" w:cs="Times New Roman"/>
          <w:sz w:val="24"/>
          <w:szCs w:val="24"/>
        </w:rPr>
        <w:t>:</w:t>
      </w:r>
    </w:p>
    <w:p w14:paraId="2AB61E05" w14:textId="77777777" w:rsidR="00E42111" w:rsidRPr="0004134A" w:rsidRDefault="00E42111" w:rsidP="00D53074">
      <w:pPr>
        <w:pStyle w:val="ListParagraph"/>
        <w:numPr>
          <w:ilvl w:val="0"/>
          <w:numId w:val="13"/>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Créer un cadre de partage des connaissances et des expériences positives en matière de politique et de gouvernance entre des jeunes hommes et femmes des partis politiques et des acteurs politiques reconnus comme des modèles au sein de la société burundaise afin de créer une sorte d’école de la démocratie et garantir une bonne gouvernance démocratique dans l’avenir.</w:t>
      </w:r>
    </w:p>
    <w:p w14:paraId="27AA661B" w14:textId="77777777" w:rsidR="00E42111" w:rsidRPr="0004134A" w:rsidRDefault="00E42111" w:rsidP="00D53074">
      <w:pPr>
        <w:pStyle w:val="ListParagraph"/>
        <w:numPr>
          <w:ilvl w:val="0"/>
          <w:numId w:val="13"/>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Offrir aux jeunes hommes et femmes l’opportunité de partager leur vision au niveau de la gouvernance socio-politique</w:t>
      </w:r>
    </w:p>
    <w:p w14:paraId="4F1BEDCD" w14:textId="77777777" w:rsidR="00E42111" w:rsidRPr="0004134A" w:rsidRDefault="00E42111" w:rsidP="00D53074">
      <w:pPr>
        <w:pStyle w:val="ListParagraph"/>
        <w:numPr>
          <w:ilvl w:val="0"/>
          <w:numId w:val="13"/>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Éveiller chez les jeunes hommes et femmes un engagement politique responsable afin de militer et défendre les valeurs démocratiques.</w:t>
      </w:r>
    </w:p>
    <w:p w14:paraId="7D7EC30F" w14:textId="016403CA" w:rsidR="00E42111" w:rsidRPr="0004134A" w:rsidRDefault="00E42111" w:rsidP="00D53074">
      <w:pPr>
        <w:pStyle w:val="ListParagraph"/>
        <w:numPr>
          <w:ilvl w:val="0"/>
          <w:numId w:val="13"/>
        </w:numPr>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Soustraire les jeunes hommes et femmes à la manipulation et à l’instrumentalisation pour des actes de violence surtout pendant les périodes électorales.</w:t>
      </w:r>
    </w:p>
    <w:p w14:paraId="74F21182" w14:textId="77777777" w:rsidR="002D23E9" w:rsidRPr="0004134A" w:rsidRDefault="002D23E9" w:rsidP="00D53074">
      <w:pPr>
        <w:pStyle w:val="ListParagraph"/>
        <w:ind w:left="1068"/>
        <w:jc w:val="both"/>
        <w:rPr>
          <w:rFonts w:ascii="Times New Roman" w:hAnsi="Times New Roman" w:cs="Times New Roman"/>
          <w:sz w:val="24"/>
          <w:szCs w:val="24"/>
          <w:lang w:val="fr-FR"/>
        </w:rPr>
      </w:pPr>
    </w:p>
    <w:p w14:paraId="116D8DE6" w14:textId="041A31B2" w:rsidR="003B5627" w:rsidRPr="0004134A" w:rsidRDefault="002223BA" w:rsidP="00724ADD">
      <w:pPr>
        <w:pStyle w:val="ListParagraph"/>
        <w:spacing w:after="0"/>
        <w:jc w:val="both"/>
        <w:rPr>
          <w:rFonts w:ascii="Times New Roman" w:hAnsi="Times New Roman" w:cs="Times New Roman"/>
          <w:sz w:val="24"/>
          <w:szCs w:val="24"/>
          <w:lang w:val="fr-FR"/>
        </w:rPr>
      </w:pPr>
      <w:r w:rsidRPr="0004134A">
        <w:rPr>
          <w:rFonts w:ascii="Times New Roman" w:hAnsi="Times New Roman" w:cs="Times New Roman"/>
          <w:noProof/>
          <w:lang w:val="fr-FR"/>
        </w:rPr>
        <w:lastRenderedPageBreak/>
        <w:drawing>
          <wp:anchor distT="0" distB="0" distL="114300" distR="114300" simplePos="0" relativeHeight="251657216" behindDoc="0" locked="0" layoutInCell="1" allowOverlap="1" wp14:anchorId="75C66619" wp14:editId="6651B543">
            <wp:simplePos x="0" y="0"/>
            <wp:positionH relativeFrom="margin">
              <wp:align>left</wp:align>
            </wp:positionH>
            <wp:positionV relativeFrom="paragraph">
              <wp:posOffset>617220</wp:posOffset>
            </wp:positionV>
            <wp:extent cx="3162300" cy="2057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2057400"/>
                    </a:xfrm>
                    <a:prstGeom prst="rect">
                      <a:avLst/>
                    </a:prstGeom>
                    <a:noFill/>
                  </pic:spPr>
                </pic:pic>
              </a:graphicData>
            </a:graphic>
            <wp14:sizeRelH relativeFrom="margin">
              <wp14:pctWidth>0</wp14:pctWidth>
            </wp14:sizeRelH>
            <wp14:sizeRelV relativeFrom="margin">
              <wp14:pctHeight>0</wp14:pctHeight>
            </wp14:sizeRelV>
          </wp:anchor>
        </w:drawing>
      </w:r>
      <w:r w:rsidR="00E42111" w:rsidRPr="0004134A">
        <w:rPr>
          <w:rFonts w:ascii="Times New Roman" w:hAnsi="Times New Roman" w:cs="Times New Roman"/>
          <w:sz w:val="24"/>
          <w:szCs w:val="24"/>
          <w:lang w:val="fr-FR"/>
        </w:rPr>
        <w:t xml:space="preserve">Dans le cadre du projet FIPP, six sessions de dialogue intergénérationnel sont prévues dont cinq au niveau provincial suivant la nouvelle cartographie administrative, et un autre au niveau national. Une première session de dialogue intergénérationnel a eu lieu à Bujumbura le 21 décembre 2023 sous le thème : « l’engagement politique responsable des jeunes ». </w:t>
      </w:r>
      <w:r w:rsidR="003B5627" w:rsidRPr="0004134A">
        <w:rPr>
          <w:rFonts w:ascii="Times New Roman" w:hAnsi="Times New Roman" w:cs="Times New Roman"/>
          <w:sz w:val="24"/>
          <w:szCs w:val="24"/>
          <w:lang w:val="fr-FR"/>
        </w:rPr>
        <w:t xml:space="preserve">La session a été animée par trois panélistes comprenant l’ancien Président de la République Sylvestre </w:t>
      </w:r>
      <w:proofErr w:type="spellStart"/>
      <w:r w:rsidR="003B5627" w:rsidRPr="0004134A">
        <w:rPr>
          <w:rFonts w:ascii="Times New Roman" w:hAnsi="Times New Roman" w:cs="Times New Roman"/>
          <w:sz w:val="24"/>
          <w:szCs w:val="24"/>
          <w:lang w:val="fr-FR"/>
        </w:rPr>
        <w:t>Ntibantunganya</w:t>
      </w:r>
      <w:proofErr w:type="spellEnd"/>
      <w:r w:rsidR="003B5627" w:rsidRPr="0004134A">
        <w:rPr>
          <w:rFonts w:ascii="Times New Roman" w:hAnsi="Times New Roman" w:cs="Times New Roman"/>
          <w:sz w:val="24"/>
          <w:szCs w:val="24"/>
          <w:lang w:val="fr-FR"/>
        </w:rPr>
        <w:t>, le président du Parti UPRONA et l’ancienne Porte-Parole du parti CNDD-FDD. Un nombre total de</w:t>
      </w:r>
      <w:r w:rsidR="007E7ACB" w:rsidRPr="0004134A">
        <w:rPr>
          <w:rFonts w:ascii="Times New Roman" w:hAnsi="Times New Roman" w:cs="Times New Roman"/>
          <w:sz w:val="24"/>
          <w:szCs w:val="24"/>
          <w:lang w:val="fr-FR"/>
        </w:rPr>
        <w:t xml:space="preserve"> 48 </w:t>
      </w:r>
      <w:r w:rsidR="003B5627" w:rsidRPr="0004134A">
        <w:rPr>
          <w:rFonts w:ascii="Times New Roman" w:hAnsi="Times New Roman" w:cs="Times New Roman"/>
          <w:sz w:val="24"/>
          <w:szCs w:val="24"/>
          <w:lang w:val="fr-FR"/>
        </w:rPr>
        <w:t xml:space="preserve">participants </w:t>
      </w:r>
      <w:r w:rsidR="007E7ACB" w:rsidRPr="0004134A">
        <w:rPr>
          <w:rFonts w:ascii="Times New Roman" w:hAnsi="Times New Roman" w:cs="Times New Roman"/>
          <w:sz w:val="24"/>
          <w:szCs w:val="24"/>
          <w:lang w:val="fr-FR"/>
        </w:rPr>
        <w:t>(16 F, 32 H), membres de quatre partis politiques (UPRONA, CNDD</w:t>
      </w:r>
      <w:r w:rsidR="00724ADD" w:rsidRPr="0004134A">
        <w:rPr>
          <w:rFonts w:ascii="Times New Roman" w:hAnsi="Times New Roman" w:cs="Times New Roman"/>
          <w:sz w:val="24"/>
          <w:szCs w:val="24"/>
          <w:lang w:val="fr-FR"/>
        </w:rPr>
        <w:t>-</w:t>
      </w:r>
      <w:r w:rsidR="007E7ACB" w:rsidRPr="0004134A">
        <w:rPr>
          <w:rFonts w:ascii="Times New Roman" w:hAnsi="Times New Roman" w:cs="Times New Roman"/>
          <w:sz w:val="24"/>
          <w:szCs w:val="24"/>
          <w:lang w:val="fr-FR"/>
        </w:rPr>
        <w:t xml:space="preserve">FDD, FRODEBU, CNL) provenant de quatre provinces à savoir Bujumbura Mairie, Bujumbura, </w:t>
      </w:r>
      <w:proofErr w:type="spellStart"/>
      <w:r w:rsidR="007E7ACB" w:rsidRPr="0004134A">
        <w:rPr>
          <w:rFonts w:ascii="Times New Roman" w:hAnsi="Times New Roman" w:cs="Times New Roman"/>
          <w:sz w:val="24"/>
          <w:szCs w:val="24"/>
          <w:lang w:val="fr-FR"/>
        </w:rPr>
        <w:t>Bubanza</w:t>
      </w:r>
      <w:proofErr w:type="spellEnd"/>
      <w:r w:rsidR="007E7ACB" w:rsidRPr="0004134A">
        <w:rPr>
          <w:rFonts w:ascii="Times New Roman" w:hAnsi="Times New Roman" w:cs="Times New Roman"/>
          <w:sz w:val="24"/>
          <w:szCs w:val="24"/>
          <w:lang w:val="fr-FR"/>
        </w:rPr>
        <w:t xml:space="preserve"> et </w:t>
      </w:r>
      <w:proofErr w:type="spellStart"/>
      <w:r w:rsidR="007E7ACB" w:rsidRPr="0004134A">
        <w:rPr>
          <w:rFonts w:ascii="Times New Roman" w:hAnsi="Times New Roman" w:cs="Times New Roman"/>
          <w:sz w:val="24"/>
          <w:szCs w:val="24"/>
          <w:lang w:val="fr-FR"/>
        </w:rPr>
        <w:t>Cibitoke</w:t>
      </w:r>
      <w:proofErr w:type="spellEnd"/>
      <w:r w:rsidR="007E7ACB" w:rsidRPr="0004134A">
        <w:rPr>
          <w:rFonts w:ascii="Times New Roman" w:hAnsi="Times New Roman" w:cs="Times New Roman"/>
          <w:sz w:val="24"/>
          <w:szCs w:val="24"/>
          <w:lang w:val="fr-FR"/>
        </w:rPr>
        <w:t xml:space="preserve"> </w:t>
      </w:r>
      <w:r w:rsidR="003B5627" w:rsidRPr="0004134A">
        <w:rPr>
          <w:rFonts w:ascii="Times New Roman" w:hAnsi="Times New Roman" w:cs="Times New Roman"/>
          <w:sz w:val="24"/>
          <w:szCs w:val="24"/>
          <w:lang w:val="fr-FR"/>
        </w:rPr>
        <w:t>y ont pris part. Parmi les principa</w:t>
      </w:r>
      <w:r w:rsidR="007E7ACB" w:rsidRPr="0004134A">
        <w:rPr>
          <w:rFonts w:ascii="Times New Roman" w:hAnsi="Times New Roman" w:cs="Times New Roman"/>
          <w:sz w:val="24"/>
          <w:szCs w:val="24"/>
          <w:lang w:val="fr-FR"/>
        </w:rPr>
        <w:t xml:space="preserve">les recommandations formulées à l’issu des débats </w:t>
      </w:r>
      <w:r w:rsidR="003B5627" w:rsidRPr="0004134A">
        <w:rPr>
          <w:rFonts w:ascii="Times New Roman" w:hAnsi="Times New Roman" w:cs="Times New Roman"/>
          <w:sz w:val="24"/>
          <w:szCs w:val="24"/>
          <w:lang w:val="fr-FR"/>
        </w:rPr>
        <w:t xml:space="preserve">figurent : </w:t>
      </w:r>
    </w:p>
    <w:p w14:paraId="7444E2E1" w14:textId="77777777" w:rsidR="002223BA" w:rsidRPr="0004134A" w:rsidRDefault="002223BA" w:rsidP="00D53074">
      <w:pPr>
        <w:pStyle w:val="Caption"/>
        <w:spacing w:line="276" w:lineRule="auto"/>
        <w:jc w:val="both"/>
        <w:rPr>
          <w:rFonts w:ascii="Times New Roman" w:eastAsia="Calibri" w:hAnsi="Times New Roman" w:cs="Times New Roman"/>
          <w:color w:val="auto"/>
          <w:lang w:val="fr-FR"/>
        </w:rPr>
      </w:pPr>
      <w:r w:rsidRPr="0004134A">
        <w:rPr>
          <w:rFonts w:ascii="Times New Roman" w:hAnsi="Times New Roman" w:cs="Times New Roman"/>
          <w:color w:val="auto"/>
          <w:lang w:val="fr-FR"/>
        </w:rPr>
        <w:t>Photos illustrant les participants et les panelistes lors des échanges</w:t>
      </w:r>
    </w:p>
    <w:p w14:paraId="50892532" w14:textId="2045BAD8" w:rsidR="007E7ACB" w:rsidRPr="0004134A" w:rsidRDefault="007E7ACB" w:rsidP="00D53074">
      <w:pPr>
        <w:pStyle w:val="ListParagraph"/>
        <w:numPr>
          <w:ilvl w:val="0"/>
          <w:numId w:val="19"/>
        </w:numPr>
        <w:spacing w:after="160"/>
        <w:jc w:val="both"/>
        <w:rPr>
          <w:rFonts w:ascii="Times New Roman" w:eastAsia="Calibri" w:hAnsi="Times New Roman" w:cs="Times New Roman"/>
          <w:sz w:val="24"/>
          <w:szCs w:val="24"/>
          <w:lang w:val="fr-FR"/>
        </w:rPr>
      </w:pPr>
      <w:r w:rsidRPr="0004134A">
        <w:rPr>
          <w:rFonts w:ascii="Times New Roman" w:eastAsia="Calibri" w:hAnsi="Times New Roman" w:cs="Times New Roman"/>
          <w:sz w:val="24"/>
          <w:szCs w:val="24"/>
          <w:lang w:val="fr-FR"/>
        </w:rPr>
        <w:t>Etendre le dialogue aux instance</w:t>
      </w:r>
      <w:r w:rsidR="00321AF5" w:rsidRPr="0004134A">
        <w:rPr>
          <w:rFonts w:ascii="Times New Roman" w:eastAsia="Calibri" w:hAnsi="Times New Roman" w:cs="Times New Roman"/>
          <w:sz w:val="24"/>
          <w:szCs w:val="24"/>
          <w:lang w:val="fr-FR"/>
        </w:rPr>
        <w:t>s</w:t>
      </w:r>
      <w:r w:rsidRPr="0004134A">
        <w:rPr>
          <w:rFonts w:ascii="Times New Roman" w:eastAsia="Calibri" w:hAnsi="Times New Roman" w:cs="Times New Roman"/>
          <w:sz w:val="24"/>
          <w:szCs w:val="24"/>
          <w:lang w:val="fr-FR"/>
        </w:rPr>
        <w:t xml:space="preserve"> dirigeants des partis politiques, </w:t>
      </w:r>
      <w:r w:rsidR="00321AF5" w:rsidRPr="0004134A">
        <w:rPr>
          <w:rFonts w:ascii="Times New Roman" w:eastAsia="Calibri" w:hAnsi="Times New Roman" w:cs="Times New Roman"/>
          <w:sz w:val="24"/>
          <w:szCs w:val="24"/>
          <w:lang w:val="fr-FR"/>
        </w:rPr>
        <w:t>aux leaders politiques et aux autorités administratives, détenteurs</w:t>
      </w:r>
      <w:r w:rsidRPr="0004134A">
        <w:rPr>
          <w:rFonts w:ascii="Times New Roman" w:eastAsia="Calibri" w:hAnsi="Times New Roman" w:cs="Times New Roman"/>
          <w:sz w:val="24"/>
          <w:szCs w:val="24"/>
          <w:lang w:val="fr-FR"/>
        </w:rPr>
        <w:t xml:space="preserve"> du pouvoir</w:t>
      </w:r>
      <w:r w:rsidR="00321AF5" w:rsidRPr="0004134A">
        <w:rPr>
          <w:rFonts w:ascii="Times New Roman" w:eastAsia="Calibri" w:hAnsi="Times New Roman" w:cs="Times New Roman"/>
          <w:sz w:val="24"/>
          <w:szCs w:val="24"/>
          <w:lang w:val="fr-FR"/>
        </w:rPr>
        <w:t xml:space="preserve"> de décision et capables de changer la cour des choses ;</w:t>
      </w:r>
      <w:r w:rsidRPr="0004134A">
        <w:rPr>
          <w:rFonts w:ascii="Times New Roman" w:eastAsia="Calibri" w:hAnsi="Times New Roman" w:cs="Times New Roman"/>
          <w:sz w:val="24"/>
          <w:szCs w:val="24"/>
          <w:lang w:val="fr-FR"/>
        </w:rPr>
        <w:t xml:space="preserve"> </w:t>
      </w:r>
    </w:p>
    <w:p w14:paraId="0C328C0A" w14:textId="1C8B2528" w:rsidR="007E7ACB" w:rsidRPr="0004134A" w:rsidRDefault="007E7ACB" w:rsidP="00D53074">
      <w:pPr>
        <w:pStyle w:val="ListParagraph"/>
        <w:numPr>
          <w:ilvl w:val="0"/>
          <w:numId w:val="19"/>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Associer les leaders politiques </w:t>
      </w:r>
      <w:r w:rsidR="00321AF5" w:rsidRPr="0004134A">
        <w:rPr>
          <w:rFonts w:ascii="Times New Roman" w:hAnsi="Times New Roman" w:cs="Times New Roman"/>
          <w:bCs/>
          <w:sz w:val="24"/>
          <w:szCs w:val="24"/>
          <w:lang w:val="fr-FR"/>
        </w:rPr>
        <w:t xml:space="preserve">de l’opposition </w:t>
      </w:r>
      <w:r w:rsidRPr="0004134A">
        <w:rPr>
          <w:rFonts w:ascii="Times New Roman" w:hAnsi="Times New Roman" w:cs="Times New Roman"/>
          <w:bCs/>
          <w:sz w:val="24"/>
          <w:szCs w:val="24"/>
          <w:lang w:val="fr-FR"/>
        </w:rPr>
        <w:t xml:space="preserve">y compris ceux du CNL dans le partage des expériences politiques </w:t>
      </w:r>
      <w:r w:rsidR="00321AF5" w:rsidRPr="0004134A">
        <w:rPr>
          <w:rFonts w:ascii="Times New Roman" w:hAnsi="Times New Roman" w:cs="Times New Roman"/>
          <w:bCs/>
          <w:sz w:val="24"/>
          <w:szCs w:val="24"/>
          <w:lang w:val="fr-FR"/>
        </w:rPr>
        <w:t>et l’animation des panels ;</w:t>
      </w:r>
    </w:p>
    <w:p w14:paraId="6F3A38B5" w14:textId="78A934CE" w:rsidR="00321AF5" w:rsidRPr="0004134A" w:rsidRDefault="00321AF5" w:rsidP="00D53074">
      <w:pPr>
        <w:pStyle w:val="ListParagraph"/>
        <w:numPr>
          <w:ilvl w:val="0"/>
          <w:numId w:val="19"/>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Prévenir la manipulation des jeunes pendant la période électorale, éviter l’exclusion et la discrimination dans la conduite des affaires publiques et mettre en avant les compétences et le leadership ; </w:t>
      </w:r>
    </w:p>
    <w:p w14:paraId="72780B6B" w14:textId="6DA79133" w:rsidR="007E7ACB" w:rsidRPr="0004134A" w:rsidRDefault="00321AF5" w:rsidP="00D53074">
      <w:pPr>
        <w:pStyle w:val="ListParagraph"/>
        <w:numPr>
          <w:ilvl w:val="0"/>
          <w:numId w:val="19"/>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Mettre en avant la qualité des programmes politiques des partis politiques et des </w:t>
      </w:r>
      <w:r w:rsidR="00DA16D5" w:rsidRPr="0004134A">
        <w:rPr>
          <w:rFonts w:ascii="Times New Roman" w:hAnsi="Times New Roman" w:cs="Times New Roman"/>
          <w:bCs/>
          <w:sz w:val="24"/>
          <w:szCs w:val="24"/>
          <w:lang w:val="fr-FR"/>
        </w:rPr>
        <w:t xml:space="preserve">candidats au détriment des considérations sectaires d’appartenance diverse. </w:t>
      </w:r>
      <w:r w:rsidRPr="0004134A">
        <w:rPr>
          <w:rFonts w:ascii="Times New Roman" w:hAnsi="Times New Roman" w:cs="Times New Roman"/>
          <w:bCs/>
          <w:sz w:val="24"/>
          <w:szCs w:val="24"/>
          <w:lang w:val="fr-FR"/>
        </w:rPr>
        <w:t xml:space="preserve">  </w:t>
      </w:r>
    </w:p>
    <w:p w14:paraId="025B0947" w14:textId="77777777" w:rsidR="007E7ACB" w:rsidRPr="0004134A" w:rsidRDefault="007E7ACB" w:rsidP="00D53074">
      <w:pPr>
        <w:spacing w:after="0"/>
        <w:ind w:left="360"/>
        <w:jc w:val="both"/>
        <w:rPr>
          <w:rFonts w:ascii="Times New Roman" w:hAnsi="Times New Roman" w:cs="Times New Roman"/>
          <w:bCs/>
          <w:sz w:val="28"/>
          <w:szCs w:val="28"/>
          <w:lang w:val="fr-FR"/>
        </w:rPr>
      </w:pPr>
    </w:p>
    <w:p w14:paraId="216586A8" w14:textId="7B0DFD11" w:rsidR="00AE74A8" w:rsidRPr="0004134A" w:rsidRDefault="008F7891"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w:t>
      </w:r>
      <w:r w:rsidR="00AE74A8" w:rsidRPr="0004134A">
        <w:rPr>
          <w:rFonts w:ascii="Times New Roman" w:hAnsi="Times New Roman" w:cs="Times New Roman"/>
          <w:b/>
          <w:sz w:val="24"/>
          <w:szCs w:val="24"/>
          <w:lang w:val="fr-FR"/>
        </w:rPr>
        <w:t xml:space="preserve">Organisation de pré-colloques </w:t>
      </w:r>
      <w:r w:rsidR="008413E2" w:rsidRPr="0004134A">
        <w:rPr>
          <w:rFonts w:ascii="Times New Roman" w:hAnsi="Times New Roman" w:cs="Times New Roman"/>
          <w:b/>
          <w:sz w:val="24"/>
          <w:szCs w:val="24"/>
          <w:lang w:val="fr-FR"/>
        </w:rPr>
        <w:t>des leaders d’opinion sur la cohabitation pacifique, la consolidation de la paix</w:t>
      </w:r>
      <w:r w:rsidR="00AE74A8" w:rsidRPr="0004134A">
        <w:rPr>
          <w:rFonts w:ascii="Times New Roman" w:hAnsi="Times New Roman" w:cs="Times New Roman"/>
          <w:b/>
          <w:sz w:val="24"/>
          <w:szCs w:val="24"/>
          <w:lang w:val="fr-FR"/>
        </w:rPr>
        <w:t xml:space="preserve"> </w:t>
      </w:r>
    </w:p>
    <w:p w14:paraId="0C72CA11" w14:textId="18A33F0F" w:rsidR="008B6FC6" w:rsidRPr="0004134A" w:rsidRDefault="008B6FC6" w:rsidP="00D53074">
      <w:pPr>
        <w:spacing w:after="0"/>
        <w:jc w:val="both"/>
        <w:rPr>
          <w:rFonts w:ascii="Times New Roman" w:hAnsi="Times New Roman" w:cs="Times New Roman"/>
          <w:b/>
          <w:sz w:val="24"/>
          <w:szCs w:val="24"/>
          <w:lang w:val="fr-FR"/>
        </w:rPr>
      </w:pPr>
    </w:p>
    <w:p w14:paraId="0ABEDEB5" w14:textId="39A36F91" w:rsidR="00AD16E2" w:rsidRPr="0004134A" w:rsidRDefault="007C2F3D"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L‘organisation de sept pré-colloques et d’un colloque national des leaders d’opinion sur la cohabitation pacifique, la consolidation de la paix pour une démocratie inclusive et le développement économique durable du Burundi est une activité qui a été mise en œuvre par deux organisations à savoir : BEL-BURUNDI « </w:t>
      </w:r>
      <w:r w:rsidR="00DB1523" w:rsidRPr="0004134A">
        <w:rPr>
          <w:rFonts w:ascii="Times New Roman" w:hAnsi="Times New Roman" w:cs="Times New Roman"/>
          <w:bCs/>
          <w:sz w:val="24"/>
          <w:szCs w:val="24"/>
          <w:lang w:val="fr-FR"/>
        </w:rPr>
        <w:t xml:space="preserve">Synergie Belgo-Burundaise Pour le Développement </w:t>
      </w:r>
      <w:r w:rsidRPr="0004134A">
        <w:rPr>
          <w:rFonts w:ascii="Times New Roman" w:hAnsi="Times New Roman" w:cs="Times New Roman"/>
          <w:bCs/>
          <w:sz w:val="24"/>
          <w:szCs w:val="24"/>
          <w:lang w:val="fr-FR"/>
        </w:rPr>
        <w:t>», et BWPD, « </w:t>
      </w:r>
      <w:proofErr w:type="spellStart"/>
      <w:r w:rsidR="00DB1523" w:rsidRPr="0004134A">
        <w:rPr>
          <w:rFonts w:ascii="Times New Roman" w:hAnsi="Times New Roman" w:cs="Times New Roman"/>
          <w:bCs/>
          <w:sz w:val="24"/>
          <w:szCs w:val="24"/>
          <w:lang w:val="fr-FR"/>
        </w:rPr>
        <w:t>Burundian</w:t>
      </w:r>
      <w:proofErr w:type="spellEnd"/>
      <w:r w:rsidR="00DB1523" w:rsidRPr="0004134A">
        <w:rPr>
          <w:rFonts w:ascii="Times New Roman" w:hAnsi="Times New Roman" w:cs="Times New Roman"/>
          <w:bCs/>
          <w:sz w:val="24"/>
          <w:szCs w:val="24"/>
          <w:lang w:val="fr-FR"/>
        </w:rPr>
        <w:t xml:space="preserve"> </w:t>
      </w:r>
      <w:proofErr w:type="spellStart"/>
      <w:r w:rsidR="00DB1523" w:rsidRPr="0004134A">
        <w:rPr>
          <w:rFonts w:ascii="Times New Roman" w:hAnsi="Times New Roman" w:cs="Times New Roman"/>
          <w:bCs/>
          <w:sz w:val="24"/>
          <w:szCs w:val="24"/>
          <w:lang w:val="fr-FR"/>
        </w:rPr>
        <w:t>Women</w:t>
      </w:r>
      <w:proofErr w:type="spellEnd"/>
      <w:r w:rsidR="00DB1523" w:rsidRPr="0004134A">
        <w:rPr>
          <w:rFonts w:ascii="Times New Roman" w:hAnsi="Times New Roman" w:cs="Times New Roman"/>
          <w:bCs/>
          <w:sz w:val="24"/>
          <w:szCs w:val="24"/>
          <w:lang w:val="fr-FR"/>
        </w:rPr>
        <w:t xml:space="preserve"> for </w:t>
      </w:r>
      <w:proofErr w:type="spellStart"/>
      <w:r w:rsidR="00DB1523" w:rsidRPr="0004134A">
        <w:rPr>
          <w:rFonts w:ascii="Times New Roman" w:hAnsi="Times New Roman" w:cs="Times New Roman"/>
          <w:bCs/>
          <w:sz w:val="24"/>
          <w:szCs w:val="24"/>
          <w:lang w:val="fr-FR"/>
        </w:rPr>
        <w:t>Peace</w:t>
      </w:r>
      <w:proofErr w:type="spellEnd"/>
      <w:r w:rsidR="00DB1523" w:rsidRPr="0004134A">
        <w:rPr>
          <w:rFonts w:ascii="Times New Roman" w:hAnsi="Times New Roman" w:cs="Times New Roman"/>
          <w:bCs/>
          <w:sz w:val="24"/>
          <w:szCs w:val="24"/>
          <w:lang w:val="fr-FR"/>
        </w:rPr>
        <w:t xml:space="preserve"> and </w:t>
      </w:r>
      <w:proofErr w:type="spellStart"/>
      <w:r w:rsidR="00DB1523" w:rsidRPr="0004134A">
        <w:rPr>
          <w:rFonts w:ascii="Times New Roman" w:hAnsi="Times New Roman" w:cs="Times New Roman"/>
          <w:bCs/>
          <w:sz w:val="24"/>
          <w:szCs w:val="24"/>
          <w:lang w:val="fr-FR"/>
        </w:rPr>
        <w:t>Developpement</w:t>
      </w:r>
      <w:proofErr w:type="spellEnd"/>
      <w:r w:rsidR="00DB1523" w:rsidRPr="0004134A">
        <w:rPr>
          <w:rFonts w:ascii="Times New Roman" w:hAnsi="Times New Roman" w:cs="Times New Roman"/>
          <w:bCs/>
          <w:sz w:val="24"/>
          <w:szCs w:val="24"/>
          <w:lang w:val="fr-FR"/>
        </w:rPr>
        <w:t> ».</w:t>
      </w:r>
      <w:r w:rsidR="00811A1B" w:rsidRPr="0004134A">
        <w:rPr>
          <w:rFonts w:ascii="Times New Roman" w:hAnsi="Times New Roman" w:cs="Times New Roman"/>
          <w:bCs/>
          <w:sz w:val="24"/>
          <w:szCs w:val="24"/>
          <w:lang w:val="fr-FR"/>
        </w:rPr>
        <w:t xml:space="preserve"> Bien qu’initialement non </w:t>
      </w:r>
      <w:r w:rsidR="0099071A" w:rsidRPr="0004134A">
        <w:rPr>
          <w:rFonts w:ascii="Times New Roman" w:hAnsi="Times New Roman" w:cs="Times New Roman"/>
          <w:bCs/>
          <w:sz w:val="24"/>
          <w:szCs w:val="24"/>
          <w:lang w:val="fr-FR"/>
        </w:rPr>
        <w:t>prévue</w:t>
      </w:r>
      <w:r w:rsidR="00811A1B" w:rsidRPr="0004134A">
        <w:rPr>
          <w:rFonts w:ascii="Times New Roman" w:hAnsi="Times New Roman" w:cs="Times New Roman"/>
          <w:bCs/>
          <w:sz w:val="24"/>
          <w:szCs w:val="24"/>
          <w:lang w:val="fr-FR"/>
        </w:rPr>
        <w:t xml:space="preserve">, cette étape </w:t>
      </w:r>
      <w:r w:rsidR="0099071A" w:rsidRPr="0004134A">
        <w:rPr>
          <w:rFonts w:ascii="Times New Roman" w:hAnsi="Times New Roman" w:cs="Times New Roman"/>
          <w:bCs/>
          <w:sz w:val="24"/>
          <w:szCs w:val="24"/>
          <w:lang w:val="fr-FR"/>
        </w:rPr>
        <w:t>a permis de poser les jalons pour une meilleure préparation du colloque national.</w:t>
      </w:r>
    </w:p>
    <w:p w14:paraId="30CABE9B" w14:textId="7214700B" w:rsidR="008B6FC6" w:rsidRPr="0004134A" w:rsidRDefault="008B6FC6" w:rsidP="00D53074">
      <w:pPr>
        <w:spacing w:after="0"/>
        <w:jc w:val="both"/>
        <w:rPr>
          <w:rFonts w:ascii="Times New Roman" w:hAnsi="Times New Roman" w:cs="Times New Roman"/>
          <w:b/>
          <w:sz w:val="24"/>
          <w:szCs w:val="24"/>
          <w:lang w:val="fr-FR"/>
        </w:rPr>
      </w:pPr>
    </w:p>
    <w:p w14:paraId="300A9712" w14:textId="05B1EA7D" w:rsidR="00EE65DD" w:rsidRPr="0004134A" w:rsidRDefault="0099071A"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En effet, </w:t>
      </w:r>
      <w:r w:rsidR="00DE228F" w:rsidRPr="0004134A">
        <w:rPr>
          <w:rFonts w:ascii="Times New Roman" w:hAnsi="Times New Roman" w:cs="Times New Roman"/>
          <w:bCs/>
          <w:sz w:val="24"/>
          <w:szCs w:val="24"/>
          <w:lang w:val="fr-FR"/>
        </w:rPr>
        <w:t xml:space="preserve">en vue de préparer le colloque national prévue en début de 2024, </w:t>
      </w:r>
      <w:r w:rsidR="00DB1523" w:rsidRPr="0004134A">
        <w:rPr>
          <w:rFonts w:ascii="Times New Roman" w:hAnsi="Times New Roman" w:cs="Times New Roman"/>
          <w:bCs/>
          <w:sz w:val="24"/>
          <w:szCs w:val="24"/>
          <w:lang w:val="fr-FR"/>
        </w:rPr>
        <w:t>sept</w:t>
      </w:r>
      <w:r w:rsidR="00DE228F" w:rsidRPr="0004134A">
        <w:rPr>
          <w:rFonts w:ascii="Times New Roman" w:hAnsi="Times New Roman" w:cs="Times New Roman"/>
          <w:bCs/>
          <w:sz w:val="24"/>
          <w:szCs w:val="24"/>
          <w:lang w:val="fr-FR"/>
        </w:rPr>
        <w:t xml:space="preserve"> pré-colloques ont été organisés </w:t>
      </w:r>
      <w:r w:rsidR="00927ACB" w:rsidRPr="0004134A">
        <w:rPr>
          <w:rFonts w:ascii="Times New Roman" w:hAnsi="Times New Roman" w:cs="Times New Roman"/>
          <w:bCs/>
          <w:sz w:val="24"/>
          <w:szCs w:val="24"/>
          <w:lang w:val="fr-FR"/>
        </w:rPr>
        <w:t xml:space="preserve">entre les mois d’Octobre et décembre </w:t>
      </w:r>
      <w:r w:rsidR="00EE65DD" w:rsidRPr="0004134A">
        <w:rPr>
          <w:rFonts w:ascii="Times New Roman" w:hAnsi="Times New Roman" w:cs="Times New Roman"/>
          <w:bCs/>
          <w:sz w:val="24"/>
          <w:szCs w:val="24"/>
          <w:lang w:val="fr-FR"/>
        </w:rPr>
        <w:t>2023 :</w:t>
      </w:r>
      <w:r w:rsidR="00DE228F" w:rsidRPr="0004134A">
        <w:rPr>
          <w:rFonts w:ascii="Times New Roman" w:hAnsi="Times New Roman" w:cs="Times New Roman"/>
          <w:bCs/>
          <w:sz w:val="24"/>
          <w:szCs w:val="24"/>
          <w:lang w:val="fr-FR"/>
        </w:rPr>
        <w:t xml:space="preserve"> un pré-colloque à Bruxelles et 6 pré-colloques au Burundi. Il s’agissait de convier 5 convives autour d’un repas au Burundi avec certains exilés politiques, ceux de la société civile et ceux de la presse établis en Belgique. </w:t>
      </w:r>
    </w:p>
    <w:p w14:paraId="215263EF" w14:textId="77777777" w:rsidR="00EE65DD" w:rsidRPr="0004134A" w:rsidRDefault="00EE65DD" w:rsidP="00D53074">
      <w:pPr>
        <w:pStyle w:val="ListParagraph"/>
        <w:rPr>
          <w:rFonts w:ascii="Times New Roman" w:hAnsi="Times New Roman" w:cs="Times New Roman"/>
          <w:bCs/>
          <w:sz w:val="24"/>
          <w:szCs w:val="24"/>
          <w:lang w:val="fr-FR"/>
        </w:rPr>
      </w:pPr>
    </w:p>
    <w:p w14:paraId="1D00D152" w14:textId="3F70FEA2" w:rsidR="008A20CD" w:rsidRPr="0004134A" w:rsidRDefault="00EE65DD"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Le but des pré-colloques était de présenter les objectifs du colloque et de procéder aux échanges sur les contours de son organisation pour atteindre de meilleurs résultats. Les participants ont salué l’initiative et ont proposé la création d’un cadre permanent de débat contradictoire et surtout d’un cadre de suivi des recommandations qui auront été soumises au Gouvernement. Certains ont même suggéré la création d’une </w:t>
      </w:r>
      <w:r w:rsidRPr="0004134A">
        <w:rPr>
          <w:rFonts w:ascii="Times New Roman" w:hAnsi="Times New Roman" w:cs="Times New Roman"/>
          <w:bCs/>
          <w:sz w:val="24"/>
          <w:szCs w:val="24"/>
          <w:lang w:val="fr-FR"/>
        </w:rPr>
        <w:lastRenderedPageBreak/>
        <w:t xml:space="preserve">école du dialogue au Burundi ; d’autres ont suggéré que ce cadre devienne une sorte de Conseils de sages de la République, un </w:t>
      </w:r>
      <w:proofErr w:type="spellStart"/>
      <w:r w:rsidRPr="0004134A">
        <w:rPr>
          <w:rFonts w:ascii="Times New Roman" w:hAnsi="Times New Roman" w:cs="Times New Roman"/>
          <w:bCs/>
          <w:sz w:val="24"/>
          <w:szCs w:val="24"/>
          <w:lang w:val="fr-FR"/>
        </w:rPr>
        <w:t>think</w:t>
      </w:r>
      <w:proofErr w:type="spellEnd"/>
      <w:r w:rsidRPr="0004134A">
        <w:rPr>
          <w:rFonts w:ascii="Times New Roman" w:hAnsi="Times New Roman" w:cs="Times New Roman"/>
          <w:bCs/>
          <w:sz w:val="24"/>
          <w:szCs w:val="24"/>
          <w:lang w:val="fr-FR"/>
        </w:rPr>
        <w:t>-tank pour aider le Gouvernement à plus de performances.</w:t>
      </w:r>
    </w:p>
    <w:p w14:paraId="391CD4E7" w14:textId="77777777" w:rsidR="00056359" w:rsidRPr="0004134A" w:rsidRDefault="00056359" w:rsidP="00D53074">
      <w:pPr>
        <w:pStyle w:val="ListParagraph"/>
        <w:rPr>
          <w:rFonts w:ascii="Times New Roman" w:hAnsi="Times New Roman" w:cs="Times New Roman"/>
          <w:bCs/>
          <w:sz w:val="24"/>
          <w:szCs w:val="24"/>
          <w:lang w:val="fr-FR"/>
        </w:rPr>
      </w:pPr>
    </w:p>
    <w:p w14:paraId="6CE57094" w14:textId="10200F39" w:rsidR="00056359" w:rsidRPr="0004134A" w:rsidRDefault="00056359"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Lors des séances organisées avec les exilés politiques burundais, certains ont estimé que l’organisation de ces colloques risquent de faire oublier la liste des 34 personnes condamnées par la justice burundaise dans l’affaire du coup d’Etat manqué de 2015. Dans le même ordre d’idée</w:t>
      </w:r>
      <w:r w:rsidR="00DB1523" w:rsidRPr="0004134A">
        <w:rPr>
          <w:rFonts w:ascii="Times New Roman" w:hAnsi="Times New Roman" w:cs="Times New Roman"/>
          <w:bCs/>
          <w:sz w:val="24"/>
          <w:szCs w:val="24"/>
          <w:lang w:val="fr-FR"/>
        </w:rPr>
        <w:t>,</w:t>
      </w:r>
      <w:r w:rsidRPr="0004134A">
        <w:rPr>
          <w:rFonts w:ascii="Times New Roman" w:hAnsi="Times New Roman" w:cs="Times New Roman"/>
          <w:bCs/>
          <w:sz w:val="24"/>
          <w:szCs w:val="24"/>
          <w:lang w:val="fr-FR"/>
        </w:rPr>
        <w:t xml:space="preserve"> une autre opinion refuse de participer à ces colloques estimant qu’y participer équivaudrait à accorder une crédibilité au pouvoir </w:t>
      </w:r>
      <w:r w:rsidR="00DB1523" w:rsidRPr="0004134A">
        <w:rPr>
          <w:rFonts w:ascii="Times New Roman" w:hAnsi="Times New Roman" w:cs="Times New Roman"/>
          <w:bCs/>
          <w:sz w:val="24"/>
          <w:szCs w:val="24"/>
          <w:lang w:val="fr-FR"/>
        </w:rPr>
        <w:t>en place</w:t>
      </w:r>
      <w:r w:rsidRPr="0004134A">
        <w:rPr>
          <w:rFonts w:ascii="Times New Roman" w:hAnsi="Times New Roman" w:cs="Times New Roman"/>
          <w:bCs/>
          <w:sz w:val="24"/>
          <w:szCs w:val="24"/>
          <w:lang w:val="fr-FR"/>
        </w:rPr>
        <w:t>. Cette catégorie apprécie le projet mais refuse de participer aux débats parce que les retombées positives reviendraient au Gouvernement burundais.</w:t>
      </w:r>
      <w:r w:rsidR="00D4066E" w:rsidRPr="0004134A">
        <w:rPr>
          <w:rFonts w:ascii="Times New Roman" w:hAnsi="Times New Roman" w:cs="Times New Roman"/>
          <w:bCs/>
          <w:sz w:val="24"/>
          <w:szCs w:val="24"/>
          <w:lang w:val="fr-FR"/>
        </w:rPr>
        <w:t xml:space="preserve"> Il sied de signaler que les questions d’ordre sécuritaire ont fait sujet de débat pour les exilés politiques</w:t>
      </w:r>
      <w:r w:rsidR="00994ECA" w:rsidRPr="0004134A">
        <w:rPr>
          <w:rFonts w:ascii="Times New Roman" w:hAnsi="Times New Roman" w:cs="Times New Roman"/>
          <w:bCs/>
          <w:sz w:val="24"/>
          <w:szCs w:val="24"/>
          <w:lang w:val="fr-FR"/>
        </w:rPr>
        <w:t xml:space="preserve"> qui ressentent encore la peur de rentrer au bercail. </w:t>
      </w:r>
    </w:p>
    <w:p w14:paraId="2F8D7D00" w14:textId="77777777" w:rsidR="00056359" w:rsidRPr="0004134A" w:rsidRDefault="00056359" w:rsidP="00D53074">
      <w:pPr>
        <w:pStyle w:val="ListParagraph"/>
        <w:rPr>
          <w:rFonts w:ascii="Times New Roman" w:hAnsi="Times New Roman" w:cs="Times New Roman"/>
          <w:bCs/>
          <w:sz w:val="24"/>
          <w:szCs w:val="24"/>
          <w:lang w:val="fr-FR"/>
        </w:rPr>
      </w:pPr>
    </w:p>
    <w:p w14:paraId="01A6163A" w14:textId="77777777" w:rsidR="00182D2F" w:rsidRPr="0004134A" w:rsidRDefault="00182D2F" w:rsidP="00724ADD">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Les leçons qu’il faut tirer de cette première étape sont les suivantes :</w:t>
      </w:r>
    </w:p>
    <w:p w14:paraId="7E4A3A22" w14:textId="5B93E6E8" w:rsidR="00182D2F" w:rsidRPr="0004134A" w:rsidRDefault="00182D2F" w:rsidP="00D53074">
      <w:pPr>
        <w:pStyle w:val="ListParagraph"/>
        <w:numPr>
          <w:ilvl w:val="0"/>
          <w:numId w:val="21"/>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Les burundais ont soif d’un cadre pour un débat contradictoire. Les colloques constituent ce cadre et pourraient contribuer à créer un environnement favorable aux élections de 2025 et 2027 au regard des défis qui s’érigent sur sa route.</w:t>
      </w:r>
    </w:p>
    <w:p w14:paraId="72366899" w14:textId="4C9E76FD" w:rsidR="00182D2F" w:rsidRPr="0004134A" w:rsidRDefault="00182D2F" w:rsidP="00D53074">
      <w:pPr>
        <w:pStyle w:val="ListParagraph"/>
        <w:numPr>
          <w:ilvl w:val="0"/>
          <w:numId w:val="21"/>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Les anciens qui ont occupé de hautes fonctions dans ce pays ont une envie de mettre leur expérience, gratuitement au service du Gouvernement pour stabiliser le Burundi dans plusieurs domaines en l’occurrence l’éducation, l’économie et la diplomatie ;</w:t>
      </w:r>
    </w:p>
    <w:p w14:paraId="2C57B603" w14:textId="75AD8C59" w:rsidR="00182D2F" w:rsidRPr="0004134A" w:rsidRDefault="00182D2F" w:rsidP="00D53074">
      <w:pPr>
        <w:pStyle w:val="ListParagraph"/>
        <w:numPr>
          <w:ilvl w:val="0"/>
          <w:numId w:val="21"/>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 Les exilés ont besoin de venir au Burundi pour voir, apprécier et décider de rentrer pour investir et s’investir pour l’essor du Burundi ;</w:t>
      </w:r>
    </w:p>
    <w:p w14:paraId="3BEE5174" w14:textId="1EA7A1A0" w:rsidR="00182D2F" w:rsidRPr="0004134A" w:rsidRDefault="00182D2F" w:rsidP="00D53074">
      <w:pPr>
        <w:pStyle w:val="ListParagraph"/>
        <w:numPr>
          <w:ilvl w:val="0"/>
          <w:numId w:val="21"/>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 Le parti CNDD-FDD apprécie les objectifs du projet des colloques, contrairement au CNL qui </w:t>
      </w:r>
      <w:r w:rsidR="00994ECA" w:rsidRPr="0004134A">
        <w:rPr>
          <w:rFonts w:ascii="Times New Roman" w:hAnsi="Times New Roman" w:cs="Times New Roman"/>
          <w:bCs/>
          <w:sz w:val="24"/>
          <w:szCs w:val="24"/>
          <w:lang w:val="fr-FR"/>
        </w:rPr>
        <w:t xml:space="preserve">tout en reconnaissant l’importance de ce cadre d’expression, </w:t>
      </w:r>
      <w:r w:rsidRPr="0004134A">
        <w:rPr>
          <w:rFonts w:ascii="Times New Roman" w:hAnsi="Times New Roman" w:cs="Times New Roman"/>
          <w:bCs/>
          <w:sz w:val="24"/>
          <w:szCs w:val="24"/>
          <w:lang w:val="fr-FR"/>
        </w:rPr>
        <w:t>voit dans le projet un soutien indirect à la politique du parti présidentiel.</w:t>
      </w:r>
    </w:p>
    <w:p w14:paraId="1FF029A1" w14:textId="73E97538" w:rsidR="0083301A" w:rsidRPr="0004134A" w:rsidRDefault="0083301A" w:rsidP="0083301A">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Cet aspect interpelle NIMD et ses partenaires de mise en œuvre à plus de vigilance sur le respect des principes d’inclusion, de neutralité et d’impartialité dans la conduite des différentes activités telles que l’identification des participants aux ateliers, le choix des panelistes ou l’identification des consultants </w:t>
      </w:r>
    </w:p>
    <w:p w14:paraId="34308899" w14:textId="77777777" w:rsidR="00361D5E" w:rsidRPr="0004134A" w:rsidRDefault="00361D5E" w:rsidP="00D53074">
      <w:pPr>
        <w:spacing w:after="0"/>
        <w:jc w:val="both"/>
        <w:rPr>
          <w:rFonts w:ascii="Times New Roman" w:hAnsi="Times New Roman" w:cs="Times New Roman"/>
          <w:bCs/>
          <w:sz w:val="24"/>
          <w:szCs w:val="24"/>
          <w:lang w:val="fr-FR"/>
        </w:rPr>
      </w:pPr>
    </w:p>
    <w:p w14:paraId="125EB315" w14:textId="734A4004" w:rsidR="008413E2" w:rsidRPr="0004134A" w:rsidRDefault="008F7891"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w:t>
      </w:r>
      <w:r w:rsidR="008413E2" w:rsidRPr="0004134A">
        <w:rPr>
          <w:rFonts w:ascii="Times New Roman" w:hAnsi="Times New Roman" w:cs="Times New Roman"/>
          <w:b/>
          <w:sz w:val="24"/>
          <w:szCs w:val="24"/>
          <w:lang w:val="fr-FR"/>
        </w:rPr>
        <w:t xml:space="preserve">Contribution à la </w:t>
      </w:r>
      <w:r w:rsidR="0047756E" w:rsidRPr="0004134A">
        <w:rPr>
          <w:rFonts w:ascii="Times New Roman" w:hAnsi="Times New Roman" w:cs="Times New Roman"/>
          <w:b/>
          <w:sz w:val="24"/>
          <w:szCs w:val="24"/>
          <w:lang w:val="fr-FR"/>
        </w:rPr>
        <w:t xml:space="preserve">construction de la paix par la </w:t>
      </w:r>
      <w:r w:rsidR="008413E2" w:rsidRPr="0004134A">
        <w:rPr>
          <w:rFonts w:ascii="Times New Roman" w:hAnsi="Times New Roman" w:cs="Times New Roman"/>
          <w:b/>
          <w:sz w:val="24"/>
          <w:szCs w:val="24"/>
          <w:lang w:val="fr-FR"/>
        </w:rPr>
        <w:t xml:space="preserve">prévention contre </w:t>
      </w:r>
      <w:r w:rsidR="0047756E" w:rsidRPr="0004134A">
        <w:rPr>
          <w:rFonts w:ascii="Times New Roman" w:hAnsi="Times New Roman" w:cs="Times New Roman"/>
          <w:b/>
          <w:sz w:val="24"/>
          <w:szCs w:val="24"/>
          <w:lang w:val="fr-FR"/>
        </w:rPr>
        <w:t xml:space="preserve">la manipulation des jeunes et </w:t>
      </w:r>
      <w:r w:rsidR="008413E2" w:rsidRPr="0004134A">
        <w:rPr>
          <w:rFonts w:ascii="Times New Roman" w:hAnsi="Times New Roman" w:cs="Times New Roman"/>
          <w:b/>
          <w:sz w:val="24"/>
          <w:szCs w:val="24"/>
          <w:lang w:val="fr-FR"/>
        </w:rPr>
        <w:t xml:space="preserve">les violences pré-électorales </w:t>
      </w:r>
    </w:p>
    <w:p w14:paraId="0D66A88C" w14:textId="365CBE0E" w:rsidR="00AE74A8" w:rsidRPr="0004134A" w:rsidRDefault="00AE74A8" w:rsidP="00D53074">
      <w:pPr>
        <w:pStyle w:val="ListParagraph"/>
        <w:spacing w:after="0"/>
        <w:jc w:val="both"/>
        <w:rPr>
          <w:rFonts w:ascii="Times New Roman" w:hAnsi="Times New Roman" w:cs="Times New Roman"/>
          <w:bCs/>
          <w:sz w:val="24"/>
          <w:szCs w:val="24"/>
          <w:lang w:val="fr-FR"/>
        </w:rPr>
      </w:pPr>
    </w:p>
    <w:p w14:paraId="437065C7" w14:textId="323FE571" w:rsidR="00A605CB" w:rsidRPr="0004134A" w:rsidRDefault="00A605CB" w:rsidP="00DD4AE6">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Les organisations Centre d’appui aux Initiatives locales de Développement et d’assistance aux Personnes vulnérables « CIDEP »</w:t>
      </w:r>
      <w:r w:rsidR="00DD4AE6" w:rsidRPr="0004134A">
        <w:rPr>
          <w:rFonts w:ascii="Times New Roman" w:hAnsi="Times New Roman" w:cs="Times New Roman"/>
          <w:bCs/>
          <w:sz w:val="24"/>
          <w:szCs w:val="24"/>
          <w:lang w:val="fr-FR"/>
        </w:rPr>
        <w:t xml:space="preserve"> </w:t>
      </w:r>
      <w:r w:rsidRPr="0004134A">
        <w:rPr>
          <w:rFonts w:ascii="Times New Roman" w:hAnsi="Times New Roman" w:cs="Times New Roman"/>
          <w:bCs/>
          <w:sz w:val="24"/>
          <w:szCs w:val="24"/>
          <w:lang w:val="fr-FR"/>
        </w:rPr>
        <w:t xml:space="preserve">et le Réseau des Organisations de Jeunes en Action pour la paix, la Réconciliation et le Développement </w:t>
      </w:r>
      <w:r w:rsidR="00DD4AE6" w:rsidRPr="0004134A">
        <w:rPr>
          <w:rFonts w:ascii="Times New Roman" w:hAnsi="Times New Roman" w:cs="Times New Roman"/>
          <w:bCs/>
          <w:sz w:val="24"/>
          <w:szCs w:val="24"/>
          <w:lang w:val="fr-FR"/>
        </w:rPr>
        <w:t>« REJA</w:t>
      </w:r>
      <w:r w:rsidRPr="0004134A">
        <w:rPr>
          <w:rFonts w:ascii="Times New Roman" w:hAnsi="Times New Roman" w:cs="Times New Roman"/>
          <w:bCs/>
          <w:sz w:val="24"/>
          <w:szCs w:val="24"/>
          <w:lang w:val="fr-FR"/>
        </w:rPr>
        <w:t> »</w:t>
      </w:r>
      <w:r w:rsidR="00DD4AE6" w:rsidRPr="0004134A">
        <w:rPr>
          <w:rFonts w:ascii="Times New Roman" w:hAnsi="Times New Roman" w:cs="Times New Roman"/>
          <w:bCs/>
          <w:sz w:val="24"/>
          <w:szCs w:val="24"/>
          <w:lang w:val="fr-FR"/>
        </w:rPr>
        <w:t xml:space="preserve"> ont signé les contrats de prestation de services pour les deux activités respectives à savoir : « Inciter les dirigeants des partis politiques à être proches de leurs membres avec des actions de responsabilisation des jeunes politiques au niveau local » pour la première et « plaidoyer pour sensibiliser les décideurs et les partis politiques pour améliorer le positionnement des jeunes en vue de leur participation comme candidats pendant les élections de 2025-2027 » pour la deuxième.</w:t>
      </w:r>
    </w:p>
    <w:p w14:paraId="5851F026" w14:textId="5A76D950" w:rsidR="00D402C7" w:rsidRPr="0004134A" w:rsidRDefault="00D402C7" w:rsidP="00DD4AE6">
      <w:pPr>
        <w:pStyle w:val="ListParagraph"/>
        <w:spacing w:after="0"/>
        <w:jc w:val="both"/>
        <w:rPr>
          <w:rFonts w:ascii="Times New Roman" w:hAnsi="Times New Roman" w:cs="Times New Roman"/>
          <w:bCs/>
          <w:sz w:val="24"/>
          <w:szCs w:val="24"/>
          <w:lang w:val="fr-FR"/>
        </w:rPr>
      </w:pPr>
    </w:p>
    <w:p w14:paraId="1C7BC767" w14:textId="4D919D81" w:rsidR="00D402C7" w:rsidRPr="0004134A" w:rsidRDefault="00D402C7" w:rsidP="00DD4AE6">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Les </w:t>
      </w:r>
      <w:r w:rsidR="00731842" w:rsidRPr="0004134A">
        <w:rPr>
          <w:rFonts w:ascii="Times New Roman" w:hAnsi="Times New Roman" w:cs="Times New Roman"/>
          <w:bCs/>
          <w:sz w:val="24"/>
          <w:szCs w:val="24"/>
          <w:lang w:val="fr-FR"/>
        </w:rPr>
        <w:t xml:space="preserve">principaux </w:t>
      </w:r>
      <w:r w:rsidRPr="0004134A">
        <w:rPr>
          <w:rFonts w:ascii="Times New Roman" w:hAnsi="Times New Roman" w:cs="Times New Roman"/>
          <w:bCs/>
          <w:sz w:val="24"/>
          <w:szCs w:val="24"/>
          <w:lang w:val="fr-FR"/>
        </w:rPr>
        <w:t xml:space="preserve">objectifs de ces deux activités </w:t>
      </w:r>
      <w:r w:rsidR="006648AC" w:rsidRPr="0004134A">
        <w:rPr>
          <w:rFonts w:ascii="Times New Roman" w:hAnsi="Times New Roman" w:cs="Times New Roman"/>
          <w:bCs/>
          <w:sz w:val="24"/>
          <w:szCs w:val="24"/>
          <w:lang w:val="fr-FR"/>
        </w:rPr>
        <w:t xml:space="preserve">dont la mise en œuvre a proprement débuté en janvier 2024 </w:t>
      </w:r>
      <w:r w:rsidRPr="0004134A">
        <w:rPr>
          <w:rFonts w:ascii="Times New Roman" w:hAnsi="Times New Roman" w:cs="Times New Roman"/>
          <w:bCs/>
          <w:sz w:val="24"/>
          <w:szCs w:val="24"/>
          <w:lang w:val="fr-FR"/>
        </w:rPr>
        <w:t>sont :</w:t>
      </w:r>
    </w:p>
    <w:p w14:paraId="11F28DED" w14:textId="46C455F5" w:rsidR="00731842" w:rsidRPr="0004134A" w:rsidRDefault="00731842" w:rsidP="00731842">
      <w:pPr>
        <w:pStyle w:val="ListParagraph"/>
        <w:numPr>
          <w:ilvl w:val="0"/>
          <w:numId w:val="32"/>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Contribuer au rapprochement des responsables des partis politiques de leur base, constituée essentiellement par des jeunes et ainsi développer le sens du patriotisme chez ces derniers ; </w:t>
      </w:r>
    </w:p>
    <w:p w14:paraId="7446DA3D" w14:textId="79EDEFEB" w:rsidR="00731842" w:rsidRPr="0004134A" w:rsidRDefault="00731842" w:rsidP="00731842">
      <w:pPr>
        <w:pStyle w:val="ListParagraph"/>
        <w:numPr>
          <w:ilvl w:val="0"/>
          <w:numId w:val="32"/>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lastRenderedPageBreak/>
        <w:t>Sensibiliser les décideurs et les partis politiques pour améliorer le positionnement des jeunes en vue de leur participation comme candidats pendant les élections de 2025-2027 ;</w:t>
      </w:r>
    </w:p>
    <w:p w14:paraId="5D2F5AC8" w14:textId="3F7CDA2B" w:rsidR="00731842" w:rsidRPr="0004134A" w:rsidRDefault="00731842" w:rsidP="00731842">
      <w:pPr>
        <w:pStyle w:val="ListParagraph"/>
        <w:numPr>
          <w:ilvl w:val="0"/>
          <w:numId w:val="32"/>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Concevoir des mécanismes d’échange et des actions de sensibilisation en vue de lutter contre la manipulation des jeunes et les </w:t>
      </w:r>
      <w:r w:rsidR="00FD4A31" w:rsidRPr="0004134A">
        <w:rPr>
          <w:rFonts w:ascii="Times New Roman" w:hAnsi="Times New Roman" w:cs="Times New Roman"/>
          <w:bCs/>
          <w:sz w:val="24"/>
          <w:szCs w:val="24"/>
          <w:lang w:val="fr-FR"/>
        </w:rPr>
        <w:t>amener à</w:t>
      </w:r>
      <w:r w:rsidRPr="0004134A">
        <w:rPr>
          <w:rFonts w:ascii="Times New Roman" w:hAnsi="Times New Roman" w:cs="Times New Roman"/>
          <w:bCs/>
          <w:sz w:val="24"/>
          <w:szCs w:val="24"/>
          <w:lang w:val="fr-FR"/>
        </w:rPr>
        <w:t xml:space="preserve"> jouer un rôle de premier plan dans la prévention des conflits et des violences politiques et électorales avant, pendant et après les élections de 2025-2025.</w:t>
      </w:r>
    </w:p>
    <w:p w14:paraId="7698BCCC" w14:textId="009A199E" w:rsidR="002D23E9" w:rsidRPr="0004134A" w:rsidRDefault="00FD4A31" w:rsidP="00D53074">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L’organisation des ateliers en rapport avec le premier objectif a été retardé suite à des contraintes administratives et leur tenue est prévu </w:t>
      </w:r>
      <w:r w:rsidR="00943A8A" w:rsidRPr="0004134A">
        <w:rPr>
          <w:rFonts w:ascii="Times New Roman" w:hAnsi="Times New Roman" w:cs="Times New Roman"/>
          <w:bCs/>
          <w:sz w:val="24"/>
          <w:szCs w:val="24"/>
          <w:lang w:val="fr-FR"/>
        </w:rPr>
        <w:t>en début</w:t>
      </w:r>
      <w:r w:rsidRPr="0004134A">
        <w:rPr>
          <w:rFonts w:ascii="Times New Roman" w:hAnsi="Times New Roman" w:cs="Times New Roman"/>
          <w:bCs/>
          <w:sz w:val="24"/>
          <w:szCs w:val="24"/>
          <w:lang w:val="fr-FR"/>
        </w:rPr>
        <w:t xml:space="preserve"> 2024, de même que le démarrage effectif des activités liées aux deux derniers objectifs. </w:t>
      </w:r>
      <w:r w:rsidR="00A426CE" w:rsidRPr="0004134A">
        <w:rPr>
          <w:rFonts w:ascii="Times New Roman" w:hAnsi="Times New Roman" w:cs="Times New Roman"/>
          <w:bCs/>
          <w:sz w:val="24"/>
          <w:szCs w:val="24"/>
          <w:lang w:val="fr-FR"/>
        </w:rPr>
        <w:t xml:space="preserve">Ceci fut le cas pour l’organisation des ateliers de l’organisation CIDEP autour du thème « inciter les partis politiques à être proches de leurs membres pour réduire les risques de manipulation et des violences électorales » </w:t>
      </w:r>
      <w:r w:rsidR="00D30BD0" w:rsidRPr="0004134A">
        <w:rPr>
          <w:rFonts w:ascii="Times New Roman" w:hAnsi="Times New Roman" w:cs="Times New Roman"/>
          <w:bCs/>
          <w:sz w:val="24"/>
          <w:szCs w:val="24"/>
          <w:lang w:val="fr-FR"/>
        </w:rPr>
        <w:t>dont l’autorisation a été accordée au mois de janvier 2024 alors que le contrat avec NIMD</w:t>
      </w:r>
      <w:r w:rsidR="00BB48E7" w:rsidRPr="0004134A">
        <w:rPr>
          <w:rFonts w:ascii="Times New Roman" w:hAnsi="Times New Roman" w:cs="Times New Roman"/>
          <w:bCs/>
          <w:sz w:val="24"/>
          <w:szCs w:val="24"/>
          <w:lang w:val="fr-FR"/>
        </w:rPr>
        <w:t xml:space="preserve"> pour la mise en œuvre de cette activité</w:t>
      </w:r>
      <w:r w:rsidR="00D30BD0" w:rsidRPr="0004134A">
        <w:rPr>
          <w:rFonts w:ascii="Times New Roman" w:hAnsi="Times New Roman" w:cs="Times New Roman"/>
          <w:bCs/>
          <w:sz w:val="24"/>
          <w:szCs w:val="24"/>
          <w:lang w:val="fr-FR"/>
        </w:rPr>
        <w:t xml:space="preserve"> est en </w:t>
      </w:r>
      <w:r w:rsidR="001E3A3A" w:rsidRPr="0004134A">
        <w:rPr>
          <w:rFonts w:ascii="Times New Roman" w:hAnsi="Times New Roman" w:cs="Times New Roman"/>
          <w:bCs/>
          <w:sz w:val="24"/>
          <w:szCs w:val="24"/>
          <w:lang w:val="fr-FR"/>
        </w:rPr>
        <w:t>cours</w:t>
      </w:r>
      <w:r w:rsidR="00D30BD0" w:rsidRPr="0004134A">
        <w:rPr>
          <w:rFonts w:ascii="Times New Roman" w:hAnsi="Times New Roman" w:cs="Times New Roman"/>
          <w:bCs/>
          <w:sz w:val="24"/>
          <w:szCs w:val="24"/>
          <w:lang w:val="fr-FR"/>
        </w:rPr>
        <w:t xml:space="preserve"> depuis le </w:t>
      </w:r>
      <w:r w:rsidR="00717BA6" w:rsidRPr="0004134A">
        <w:rPr>
          <w:rFonts w:ascii="Times New Roman" w:hAnsi="Times New Roman" w:cs="Times New Roman"/>
          <w:bCs/>
          <w:sz w:val="24"/>
          <w:szCs w:val="24"/>
          <w:lang w:val="fr-FR"/>
        </w:rPr>
        <w:t xml:space="preserve">21 septembre 2023. </w:t>
      </w:r>
    </w:p>
    <w:p w14:paraId="32D571C1" w14:textId="77777777" w:rsidR="00717BA6" w:rsidRPr="0004134A" w:rsidRDefault="00717BA6" w:rsidP="00D53074">
      <w:pPr>
        <w:pStyle w:val="ListParagraph"/>
        <w:spacing w:after="0"/>
        <w:jc w:val="both"/>
        <w:rPr>
          <w:rFonts w:ascii="Times New Roman" w:hAnsi="Times New Roman" w:cs="Times New Roman"/>
          <w:bCs/>
          <w:sz w:val="24"/>
          <w:szCs w:val="24"/>
          <w:lang w:val="fr-FR"/>
        </w:rPr>
      </w:pPr>
    </w:p>
    <w:p w14:paraId="6AA021BF" w14:textId="210EB9DC" w:rsidR="00376176" w:rsidRPr="0004134A" w:rsidRDefault="008F7891" w:rsidP="00C13A3F">
      <w:pPr>
        <w:pStyle w:val="ListParagraph"/>
        <w:numPr>
          <w:ilvl w:val="3"/>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 </w:t>
      </w:r>
      <w:r w:rsidR="00376176" w:rsidRPr="0004134A">
        <w:rPr>
          <w:rFonts w:ascii="Times New Roman" w:hAnsi="Times New Roman" w:cs="Times New Roman"/>
          <w:b/>
          <w:sz w:val="24"/>
          <w:szCs w:val="24"/>
          <w:lang w:val="fr-FR"/>
        </w:rPr>
        <w:t>Renforcement des capacités des partis politiques et redynamisation du dialogue politique</w:t>
      </w:r>
    </w:p>
    <w:p w14:paraId="40E1749C" w14:textId="77777777" w:rsidR="00116D1C" w:rsidRPr="0004134A" w:rsidRDefault="00116D1C" w:rsidP="00D53074">
      <w:pPr>
        <w:pStyle w:val="ListParagraph"/>
        <w:spacing w:after="0"/>
        <w:jc w:val="both"/>
        <w:rPr>
          <w:rFonts w:ascii="Times New Roman" w:hAnsi="Times New Roman" w:cs="Times New Roman"/>
          <w:b/>
          <w:sz w:val="24"/>
          <w:szCs w:val="24"/>
          <w:lang w:val="fr-FR"/>
        </w:rPr>
      </w:pPr>
    </w:p>
    <w:p w14:paraId="0153F079" w14:textId="1D1A1B9E" w:rsidR="00376176" w:rsidRPr="0004134A" w:rsidRDefault="00116D1C" w:rsidP="00D53074">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Parmi les activités du projet FIPP figurent celles de :</w:t>
      </w:r>
    </w:p>
    <w:p w14:paraId="75FAB170" w14:textId="77777777" w:rsidR="00921B43" w:rsidRPr="0004134A" w:rsidRDefault="00921B43" w:rsidP="00116D1C">
      <w:pPr>
        <w:spacing w:after="160"/>
        <w:ind w:left="708"/>
        <w:contextualSpacing/>
        <w:jc w:val="both"/>
        <w:rPr>
          <w:rFonts w:ascii="Times New Roman" w:hAnsi="Times New Roman" w:cs="Times New Roman"/>
          <w:sz w:val="24"/>
          <w:szCs w:val="24"/>
          <w:lang w:val="fr-FR"/>
        </w:rPr>
      </w:pPr>
    </w:p>
    <w:p w14:paraId="0747A4C7" w14:textId="300975D8" w:rsidR="00921B43" w:rsidRPr="0004134A" w:rsidRDefault="00921B43" w:rsidP="00921B43">
      <w:pPr>
        <w:numPr>
          <w:ilvl w:val="0"/>
          <w:numId w:val="33"/>
        </w:numPr>
        <w:spacing w:after="160"/>
        <w:contextualSpacing/>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Soutenir les cadres de dialogue multi-acteurs définis dans la résolution de Ngozi, ainsi que les cadres de dialogue politique maintenus par le ministère de l'intérieur et leur extension aux structures décentralisées et le FDP dans la perspective des élections de 2025-2027</w:t>
      </w:r>
    </w:p>
    <w:p w14:paraId="62892575" w14:textId="77777777" w:rsidR="00921B43" w:rsidRPr="0004134A" w:rsidRDefault="00921B43" w:rsidP="00921B43">
      <w:pPr>
        <w:numPr>
          <w:ilvl w:val="0"/>
          <w:numId w:val="33"/>
        </w:numPr>
        <w:spacing w:after="160"/>
        <w:contextualSpacing/>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Apporter un soutien technique aux partis politiques en matière de redynamisation du dialogue et de renforcement des capacités en vue de contribuer à l'amélioration de la vie socio-politique et économique de la communauté burundaise dans la perspective des élections de 2025-2027</w:t>
      </w:r>
    </w:p>
    <w:p w14:paraId="426ED810" w14:textId="0DA23246" w:rsidR="00921B43" w:rsidRPr="0004134A" w:rsidRDefault="00921B43" w:rsidP="00921B43">
      <w:pPr>
        <w:numPr>
          <w:ilvl w:val="0"/>
          <w:numId w:val="33"/>
        </w:numPr>
        <w:spacing w:after="160"/>
        <w:contextualSpacing/>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 xml:space="preserve">Appuyer les jeunes et les femmes issus des partis politiques regroupes en coopératives dans le cadre de la consolidation de la paix et la cohésion sociale et soutien aux jeunes multipartites </w:t>
      </w:r>
      <w:proofErr w:type="spellStart"/>
      <w:r w:rsidRPr="0004134A">
        <w:rPr>
          <w:rFonts w:ascii="Times New Roman" w:hAnsi="Times New Roman" w:cs="Times New Roman"/>
          <w:sz w:val="24"/>
          <w:szCs w:val="24"/>
          <w:lang w:val="fr-FR"/>
        </w:rPr>
        <w:t>Youth</w:t>
      </w:r>
      <w:proofErr w:type="spellEnd"/>
      <w:r w:rsidRPr="0004134A">
        <w:rPr>
          <w:rFonts w:ascii="Times New Roman" w:hAnsi="Times New Roman" w:cs="Times New Roman"/>
          <w:sz w:val="24"/>
          <w:szCs w:val="24"/>
          <w:lang w:val="fr-FR"/>
        </w:rPr>
        <w:t xml:space="preserve"> </w:t>
      </w:r>
      <w:proofErr w:type="spellStart"/>
      <w:r w:rsidRPr="0004134A">
        <w:rPr>
          <w:rFonts w:ascii="Times New Roman" w:hAnsi="Times New Roman" w:cs="Times New Roman"/>
          <w:sz w:val="24"/>
          <w:szCs w:val="24"/>
          <w:lang w:val="fr-FR"/>
        </w:rPr>
        <w:t>Lab</w:t>
      </w:r>
      <w:proofErr w:type="spellEnd"/>
      <w:r w:rsidRPr="0004134A">
        <w:rPr>
          <w:rFonts w:ascii="Times New Roman" w:hAnsi="Times New Roman" w:cs="Times New Roman"/>
          <w:sz w:val="24"/>
          <w:szCs w:val="24"/>
          <w:lang w:val="fr-FR"/>
        </w:rPr>
        <w:t xml:space="preserve"> dans la vulgarisation de leur modèle de cohésion sociale et de participation politique. </w:t>
      </w:r>
    </w:p>
    <w:p w14:paraId="226F71E9" w14:textId="2871C040" w:rsidR="00921B43" w:rsidRPr="0004134A" w:rsidRDefault="00921B43" w:rsidP="00116D1C">
      <w:pPr>
        <w:spacing w:after="160"/>
        <w:contextualSpacing/>
        <w:jc w:val="both"/>
        <w:rPr>
          <w:rFonts w:ascii="Times New Roman" w:hAnsi="Times New Roman" w:cs="Times New Roman"/>
          <w:sz w:val="24"/>
          <w:szCs w:val="24"/>
          <w:lang w:val="fr-FR"/>
        </w:rPr>
      </w:pPr>
    </w:p>
    <w:p w14:paraId="1C1BB500" w14:textId="77777777" w:rsidR="00B54612" w:rsidRPr="0004134A" w:rsidRDefault="00116D1C" w:rsidP="00E17887">
      <w:pPr>
        <w:spacing w:after="160"/>
        <w:ind w:left="708"/>
        <w:contextualSpacing/>
        <w:jc w:val="both"/>
        <w:rPr>
          <w:rFonts w:ascii="Times New Roman" w:hAnsi="Times New Roman" w:cs="Times New Roman"/>
          <w:sz w:val="24"/>
          <w:szCs w:val="24"/>
          <w:lang w:val="fr-FR"/>
        </w:rPr>
      </w:pPr>
      <w:r w:rsidRPr="0004134A">
        <w:rPr>
          <w:rFonts w:ascii="Times New Roman" w:hAnsi="Times New Roman" w:cs="Times New Roman"/>
          <w:sz w:val="24"/>
          <w:szCs w:val="24"/>
          <w:lang w:val="fr-FR"/>
        </w:rPr>
        <w:t xml:space="preserve">Ces activités rentrent dans la continuité d’anciens projets mis en œuvre par le BLTP avec l’appui </w:t>
      </w:r>
      <w:r w:rsidR="00994ECA" w:rsidRPr="0004134A">
        <w:rPr>
          <w:rFonts w:ascii="Times New Roman" w:hAnsi="Times New Roman" w:cs="Times New Roman"/>
          <w:sz w:val="24"/>
          <w:szCs w:val="24"/>
          <w:lang w:val="fr-FR"/>
        </w:rPr>
        <w:t>technique de</w:t>
      </w:r>
      <w:r w:rsidRPr="0004134A">
        <w:rPr>
          <w:rFonts w:ascii="Times New Roman" w:hAnsi="Times New Roman" w:cs="Times New Roman"/>
          <w:sz w:val="24"/>
          <w:szCs w:val="24"/>
          <w:lang w:val="fr-FR"/>
        </w:rPr>
        <w:t xml:space="preserve"> NIMD. </w:t>
      </w:r>
      <w:r w:rsidR="00EE1BB2" w:rsidRPr="0004134A">
        <w:rPr>
          <w:rFonts w:ascii="Times New Roman" w:hAnsi="Times New Roman" w:cs="Times New Roman"/>
          <w:sz w:val="24"/>
          <w:szCs w:val="24"/>
          <w:lang w:val="fr-FR"/>
        </w:rPr>
        <w:t>C’est le cas notamment du projet « </w:t>
      </w:r>
      <w:proofErr w:type="spellStart"/>
      <w:r w:rsidR="00EE1BB2" w:rsidRPr="0004134A">
        <w:rPr>
          <w:rFonts w:ascii="Times New Roman" w:hAnsi="Times New Roman" w:cs="Times New Roman"/>
          <w:sz w:val="24"/>
          <w:szCs w:val="24"/>
          <w:lang w:val="fr-FR"/>
        </w:rPr>
        <w:t>Women</w:t>
      </w:r>
      <w:proofErr w:type="spellEnd"/>
      <w:r w:rsidR="00EE1BB2" w:rsidRPr="0004134A">
        <w:rPr>
          <w:rFonts w:ascii="Times New Roman" w:hAnsi="Times New Roman" w:cs="Times New Roman"/>
          <w:sz w:val="24"/>
          <w:szCs w:val="24"/>
          <w:lang w:val="fr-FR"/>
        </w:rPr>
        <w:t xml:space="preserve"> Leadership and Participation for </w:t>
      </w:r>
      <w:proofErr w:type="spellStart"/>
      <w:r w:rsidR="00EE1BB2" w:rsidRPr="0004134A">
        <w:rPr>
          <w:rFonts w:ascii="Times New Roman" w:hAnsi="Times New Roman" w:cs="Times New Roman"/>
          <w:sz w:val="24"/>
          <w:szCs w:val="24"/>
          <w:lang w:val="fr-FR"/>
        </w:rPr>
        <w:t>Peace</w:t>
      </w:r>
      <w:proofErr w:type="spellEnd"/>
      <w:r w:rsidR="00EE1BB2" w:rsidRPr="0004134A">
        <w:rPr>
          <w:rFonts w:ascii="Times New Roman" w:hAnsi="Times New Roman" w:cs="Times New Roman"/>
          <w:sz w:val="24"/>
          <w:szCs w:val="24"/>
          <w:lang w:val="fr-FR"/>
        </w:rPr>
        <w:t xml:space="preserve"> (</w:t>
      </w:r>
      <w:proofErr w:type="spellStart"/>
      <w:r w:rsidR="00EE1BB2" w:rsidRPr="0004134A">
        <w:rPr>
          <w:rFonts w:ascii="Times New Roman" w:hAnsi="Times New Roman" w:cs="Times New Roman"/>
          <w:sz w:val="24"/>
          <w:szCs w:val="24"/>
          <w:lang w:val="fr-FR"/>
        </w:rPr>
        <w:t>Leap</w:t>
      </w:r>
      <w:proofErr w:type="spellEnd"/>
      <w:r w:rsidR="00EE1BB2" w:rsidRPr="0004134A">
        <w:rPr>
          <w:rFonts w:ascii="Times New Roman" w:hAnsi="Times New Roman" w:cs="Times New Roman"/>
          <w:sz w:val="24"/>
          <w:szCs w:val="24"/>
          <w:lang w:val="fr-FR"/>
        </w:rPr>
        <w:t xml:space="preserve"> for </w:t>
      </w:r>
      <w:proofErr w:type="spellStart"/>
      <w:r w:rsidR="00EE1BB2" w:rsidRPr="0004134A">
        <w:rPr>
          <w:rFonts w:ascii="Times New Roman" w:hAnsi="Times New Roman" w:cs="Times New Roman"/>
          <w:sz w:val="24"/>
          <w:szCs w:val="24"/>
          <w:lang w:val="fr-FR"/>
        </w:rPr>
        <w:t>Peace</w:t>
      </w:r>
      <w:proofErr w:type="spellEnd"/>
      <w:r w:rsidR="00EE1BB2" w:rsidRPr="0004134A">
        <w:rPr>
          <w:rFonts w:ascii="Times New Roman" w:hAnsi="Times New Roman" w:cs="Times New Roman"/>
          <w:sz w:val="24"/>
          <w:szCs w:val="24"/>
          <w:lang w:val="fr-FR"/>
        </w:rPr>
        <w:t xml:space="preserve">), un projet en cours et qui va durer cinq ans (2021-2025) ou du projet </w:t>
      </w:r>
      <w:proofErr w:type="spellStart"/>
      <w:r w:rsidR="00EE1BB2" w:rsidRPr="0004134A">
        <w:rPr>
          <w:rFonts w:ascii="Times New Roman" w:hAnsi="Times New Roman" w:cs="Times New Roman"/>
          <w:sz w:val="24"/>
          <w:szCs w:val="24"/>
          <w:lang w:val="fr-FR"/>
        </w:rPr>
        <w:t>Youth</w:t>
      </w:r>
      <w:proofErr w:type="spellEnd"/>
      <w:r w:rsidR="00EE1BB2" w:rsidRPr="0004134A">
        <w:rPr>
          <w:rFonts w:ascii="Times New Roman" w:hAnsi="Times New Roman" w:cs="Times New Roman"/>
          <w:sz w:val="24"/>
          <w:szCs w:val="24"/>
          <w:lang w:val="fr-FR"/>
        </w:rPr>
        <w:t xml:space="preserve"> </w:t>
      </w:r>
      <w:proofErr w:type="spellStart"/>
      <w:r w:rsidR="00EE1BB2" w:rsidRPr="0004134A">
        <w:rPr>
          <w:rFonts w:ascii="Times New Roman" w:hAnsi="Times New Roman" w:cs="Times New Roman"/>
          <w:sz w:val="24"/>
          <w:szCs w:val="24"/>
          <w:lang w:val="fr-FR"/>
        </w:rPr>
        <w:t>Lab</w:t>
      </w:r>
      <w:proofErr w:type="spellEnd"/>
      <w:r w:rsidR="00EE1BB2" w:rsidRPr="0004134A">
        <w:rPr>
          <w:rFonts w:ascii="Times New Roman" w:hAnsi="Times New Roman" w:cs="Times New Roman"/>
          <w:sz w:val="24"/>
          <w:szCs w:val="24"/>
          <w:lang w:val="fr-FR"/>
        </w:rPr>
        <w:t xml:space="preserve"> (Leaders politiques pour l’Avenir du Burundi</w:t>
      </w:r>
      <w:r w:rsidR="00A4092B" w:rsidRPr="0004134A">
        <w:rPr>
          <w:rFonts w:ascii="Times New Roman" w:hAnsi="Times New Roman" w:cs="Times New Roman"/>
          <w:sz w:val="24"/>
          <w:szCs w:val="24"/>
          <w:lang w:val="fr-FR"/>
        </w:rPr>
        <w:t>)</w:t>
      </w:r>
      <w:r w:rsidR="00EE1BB2" w:rsidRPr="0004134A">
        <w:rPr>
          <w:rFonts w:ascii="Times New Roman" w:hAnsi="Times New Roman" w:cs="Times New Roman"/>
          <w:sz w:val="24"/>
          <w:szCs w:val="24"/>
          <w:lang w:val="fr-FR"/>
        </w:rPr>
        <w:t xml:space="preserve"> financé par Fonds des Nations Unies pour la Consolidation de la paix au Burundi </w:t>
      </w:r>
      <w:r w:rsidR="00A4092B" w:rsidRPr="0004134A">
        <w:rPr>
          <w:rFonts w:ascii="Times New Roman" w:hAnsi="Times New Roman" w:cs="Times New Roman"/>
          <w:sz w:val="24"/>
          <w:szCs w:val="24"/>
          <w:lang w:val="fr-FR"/>
        </w:rPr>
        <w:t xml:space="preserve">et </w:t>
      </w:r>
      <w:r w:rsidR="00EE1BB2" w:rsidRPr="0004134A">
        <w:rPr>
          <w:rFonts w:ascii="Times New Roman" w:hAnsi="Times New Roman" w:cs="Times New Roman"/>
          <w:sz w:val="24"/>
          <w:szCs w:val="24"/>
          <w:lang w:val="fr-FR"/>
        </w:rPr>
        <w:t>exécuté en partenariat avec le NIMD en faveur des jeunes femmes et hommes des partis politiques à travers toutes les 18 provinces du Burundi, de mars 2018 à septembre 2020.</w:t>
      </w:r>
      <w:r w:rsidR="00E17887" w:rsidRPr="0004134A">
        <w:rPr>
          <w:rFonts w:ascii="Times New Roman" w:hAnsi="Times New Roman" w:cs="Times New Roman"/>
          <w:sz w:val="24"/>
          <w:szCs w:val="24"/>
          <w:lang w:val="fr-FR"/>
        </w:rPr>
        <w:t xml:space="preserve"> </w:t>
      </w:r>
      <w:r w:rsidR="00EE1BB2" w:rsidRPr="0004134A">
        <w:rPr>
          <w:rFonts w:ascii="Times New Roman" w:hAnsi="Times New Roman" w:cs="Times New Roman"/>
          <w:sz w:val="24"/>
          <w:szCs w:val="24"/>
          <w:lang w:val="fr-FR"/>
        </w:rPr>
        <w:t xml:space="preserve">Les </w:t>
      </w:r>
      <w:r w:rsidR="00DE1B54" w:rsidRPr="0004134A">
        <w:rPr>
          <w:rFonts w:ascii="Times New Roman" w:hAnsi="Times New Roman" w:cs="Times New Roman"/>
          <w:sz w:val="24"/>
          <w:szCs w:val="24"/>
          <w:lang w:val="fr-FR"/>
        </w:rPr>
        <w:t>t</w:t>
      </w:r>
      <w:r w:rsidR="00EE1BB2" w:rsidRPr="0004134A">
        <w:rPr>
          <w:rFonts w:ascii="Times New Roman" w:hAnsi="Times New Roman" w:cs="Times New Roman"/>
          <w:sz w:val="24"/>
          <w:szCs w:val="24"/>
          <w:lang w:val="fr-FR"/>
        </w:rPr>
        <w:t>ermes de référence pour la mise en œuvre des activités ci-haut citées ont été élaborés par NIMD et partagés avec le BLTP qui est en train d’élaborer l’approche méthodologique de mise en œuvre.</w:t>
      </w:r>
    </w:p>
    <w:p w14:paraId="1551222A" w14:textId="77777777" w:rsidR="00B54612" w:rsidRPr="0004134A" w:rsidRDefault="00B54612" w:rsidP="00E17887">
      <w:pPr>
        <w:spacing w:after="160"/>
        <w:ind w:left="708"/>
        <w:contextualSpacing/>
        <w:jc w:val="both"/>
        <w:rPr>
          <w:rFonts w:ascii="Times New Roman" w:hAnsi="Times New Roman" w:cs="Times New Roman"/>
          <w:sz w:val="24"/>
          <w:szCs w:val="24"/>
          <w:lang w:val="fr-FR"/>
        </w:rPr>
      </w:pPr>
    </w:p>
    <w:p w14:paraId="556155BA" w14:textId="17E12366" w:rsidR="00921B43" w:rsidRPr="0004134A" w:rsidRDefault="00921B43" w:rsidP="00E17887">
      <w:pPr>
        <w:spacing w:after="160"/>
        <w:ind w:left="708"/>
        <w:contextualSpacing/>
        <w:jc w:val="both"/>
        <w:rPr>
          <w:rFonts w:ascii="Times New Roman" w:hAnsi="Times New Roman" w:cs="Times New Roman"/>
          <w:sz w:val="24"/>
          <w:szCs w:val="24"/>
          <w:lang w:val="fr-FR"/>
        </w:rPr>
      </w:pPr>
    </w:p>
    <w:p w14:paraId="323FF91B" w14:textId="16CA89BB" w:rsidR="00376176" w:rsidRPr="0004134A" w:rsidRDefault="0097691A" w:rsidP="00C13A3F">
      <w:pPr>
        <w:pStyle w:val="ListParagraph"/>
        <w:numPr>
          <w:ilvl w:val="0"/>
          <w:numId w:val="47"/>
        </w:numPr>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Evaluation générale de l’implémentation de l’activité </w:t>
      </w:r>
      <w:r w:rsidRPr="0004134A">
        <w:rPr>
          <w:rFonts w:ascii="Times New Roman" w:hAnsi="Times New Roman" w:cs="Times New Roman"/>
          <w:bCs/>
          <w:i/>
          <w:iCs/>
          <w:sz w:val="24"/>
          <w:szCs w:val="24"/>
          <w:lang w:val="fr-FR"/>
        </w:rPr>
        <w:t>(décrire brièvement le progrès accomplis vers les effets et impacts attendus du projet,</w:t>
      </w:r>
      <w:r w:rsidRPr="0004134A">
        <w:rPr>
          <w:rFonts w:ascii="Times New Roman" w:hAnsi="Times New Roman" w:cs="Times New Roman"/>
          <w:bCs/>
          <w:i/>
          <w:iCs/>
          <w:sz w:val="24"/>
          <w:szCs w:val="24"/>
          <w:u w:val="single"/>
          <w:lang w:val="fr-FR"/>
        </w:rPr>
        <w:t xml:space="preserve"> pas en termes de progrès des activités mais bien en termes de progrès vers les objectifs).</w:t>
      </w:r>
    </w:p>
    <w:p w14:paraId="03BE9CDA" w14:textId="632C2C5F" w:rsidR="0097691A" w:rsidRPr="0004134A" w:rsidRDefault="0097691A" w:rsidP="00D53074">
      <w:pPr>
        <w:pStyle w:val="ListParagraph"/>
        <w:spacing w:after="0"/>
        <w:jc w:val="both"/>
        <w:rPr>
          <w:rFonts w:ascii="Times New Roman" w:hAnsi="Times New Roman" w:cs="Times New Roman"/>
          <w:b/>
          <w:sz w:val="24"/>
          <w:szCs w:val="24"/>
          <w:lang w:val="fr-FR"/>
        </w:rPr>
      </w:pPr>
    </w:p>
    <w:p w14:paraId="30AF2097" w14:textId="7D73A9CF" w:rsidR="00E17887" w:rsidRPr="0004134A" w:rsidRDefault="00E17887" w:rsidP="00D53074">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lastRenderedPageBreak/>
        <w:t>A l’état actuel de mise en œuvre et eu égard au retard pris dans le démarrage des activités proprement dite du projet, il serait ambitieux de parler de progrès vers les effets et impact attendus du projet. Le projet a mené plutôt des activités de démarrage</w:t>
      </w:r>
      <w:r w:rsidR="002A74C5" w:rsidRPr="0004134A">
        <w:rPr>
          <w:rFonts w:ascii="Times New Roman" w:hAnsi="Times New Roman" w:cs="Times New Roman"/>
          <w:bCs/>
          <w:sz w:val="24"/>
          <w:szCs w:val="24"/>
          <w:lang w:val="fr-FR"/>
        </w:rPr>
        <w:t xml:space="preserve"> comme cela apparait dans la fiche synoptique des réalisations comparées aux prévisions</w:t>
      </w:r>
      <w:r w:rsidRPr="0004134A">
        <w:rPr>
          <w:rFonts w:ascii="Times New Roman" w:hAnsi="Times New Roman" w:cs="Times New Roman"/>
          <w:bCs/>
          <w:sz w:val="24"/>
          <w:szCs w:val="24"/>
          <w:lang w:val="fr-FR"/>
        </w:rPr>
        <w:t>.</w:t>
      </w:r>
    </w:p>
    <w:p w14:paraId="1B3EFEC4" w14:textId="77777777" w:rsidR="00E17887" w:rsidRPr="0004134A" w:rsidRDefault="00E17887" w:rsidP="00D53074">
      <w:pPr>
        <w:pStyle w:val="ListParagraph"/>
        <w:spacing w:after="0"/>
        <w:jc w:val="both"/>
        <w:rPr>
          <w:rFonts w:ascii="Times New Roman" w:hAnsi="Times New Roman" w:cs="Times New Roman"/>
          <w:b/>
          <w:sz w:val="24"/>
          <w:szCs w:val="24"/>
          <w:lang w:val="fr-FR"/>
        </w:rPr>
      </w:pPr>
    </w:p>
    <w:p w14:paraId="2FDE501B" w14:textId="7FF7FB21" w:rsidR="00B30D2E" w:rsidRPr="0004134A" w:rsidRDefault="00B30D2E" w:rsidP="00C13A3F">
      <w:pPr>
        <w:pStyle w:val="ListParagraph"/>
        <w:numPr>
          <w:ilvl w:val="0"/>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 xml:space="preserve">Impact et viabilité </w:t>
      </w:r>
      <w:r w:rsidR="0097691A" w:rsidRPr="0004134A">
        <w:rPr>
          <w:rFonts w:ascii="Times New Roman" w:hAnsi="Times New Roman" w:cs="Times New Roman"/>
          <w:bCs/>
          <w:i/>
          <w:iCs/>
          <w:sz w:val="24"/>
          <w:szCs w:val="24"/>
          <w:lang w:val="fr-FR"/>
        </w:rPr>
        <w:t>(décrire les effets à court terme ainsi que l’impact à moyen et long terme mais aussi la durabilité des actions dans le temps)</w:t>
      </w:r>
    </w:p>
    <w:p w14:paraId="710477FC" w14:textId="77777777" w:rsidR="00FE4F4C" w:rsidRPr="0004134A" w:rsidRDefault="00FE4F4C" w:rsidP="00FE4F4C">
      <w:pPr>
        <w:spacing w:after="0"/>
        <w:ind w:firstLine="360"/>
        <w:jc w:val="both"/>
        <w:rPr>
          <w:rFonts w:ascii="Times New Roman" w:hAnsi="Times New Roman" w:cs="Times New Roman"/>
          <w:bCs/>
          <w:sz w:val="24"/>
          <w:szCs w:val="24"/>
          <w:lang w:val="fr-FR"/>
        </w:rPr>
      </w:pPr>
    </w:p>
    <w:p w14:paraId="0A36C9B5" w14:textId="3D4DBF93" w:rsidR="00B30D2E" w:rsidRPr="0004134A" w:rsidRDefault="00FE4F4C" w:rsidP="003F3F06">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Il est encore tôt </w:t>
      </w:r>
      <w:r w:rsidR="00A4092B" w:rsidRPr="0004134A">
        <w:rPr>
          <w:rFonts w:ascii="Times New Roman" w:hAnsi="Times New Roman" w:cs="Times New Roman"/>
          <w:bCs/>
          <w:sz w:val="24"/>
          <w:szCs w:val="24"/>
          <w:lang w:val="fr-FR"/>
        </w:rPr>
        <w:t>pour</w:t>
      </w:r>
      <w:r w:rsidRPr="0004134A">
        <w:rPr>
          <w:rFonts w:ascii="Times New Roman" w:hAnsi="Times New Roman" w:cs="Times New Roman"/>
          <w:bCs/>
          <w:sz w:val="24"/>
          <w:szCs w:val="24"/>
          <w:lang w:val="fr-FR"/>
        </w:rPr>
        <w:t xml:space="preserve"> prétendre à un impact viable ou une visibilité des actions du NIMD au Burundi pour cette première année. D’un côté, l’enregistrement n’a pas pu avoir lieu au cours de </w:t>
      </w:r>
      <w:r w:rsidR="00022FA2" w:rsidRPr="0004134A">
        <w:rPr>
          <w:rFonts w:ascii="Times New Roman" w:hAnsi="Times New Roman" w:cs="Times New Roman"/>
          <w:bCs/>
          <w:sz w:val="24"/>
          <w:szCs w:val="24"/>
          <w:lang w:val="fr-FR"/>
        </w:rPr>
        <w:t>l’année 2023</w:t>
      </w:r>
      <w:r w:rsidRPr="0004134A">
        <w:rPr>
          <w:rFonts w:ascii="Times New Roman" w:hAnsi="Times New Roman" w:cs="Times New Roman"/>
          <w:bCs/>
          <w:sz w:val="24"/>
          <w:szCs w:val="24"/>
          <w:lang w:val="fr-FR"/>
        </w:rPr>
        <w:t>, ce qui a affecté le démarrage des activités</w:t>
      </w:r>
      <w:r w:rsidR="009D46C0" w:rsidRPr="0004134A">
        <w:rPr>
          <w:rFonts w:ascii="Times New Roman" w:hAnsi="Times New Roman" w:cs="Times New Roman"/>
          <w:bCs/>
          <w:sz w:val="24"/>
          <w:szCs w:val="24"/>
          <w:lang w:val="fr-FR"/>
        </w:rPr>
        <w:t>, particulièrement celles qui devraient être réalisées directement par NIMD</w:t>
      </w:r>
      <w:r w:rsidRPr="0004134A">
        <w:rPr>
          <w:rFonts w:ascii="Times New Roman" w:hAnsi="Times New Roman" w:cs="Times New Roman"/>
          <w:bCs/>
          <w:sz w:val="24"/>
          <w:szCs w:val="24"/>
          <w:lang w:val="fr-FR"/>
        </w:rPr>
        <w:t xml:space="preserve"> et de l’autre, la lourdeur des procédures d’autorisation des activités entreprises par les organisations prestataires n’a pas permis leur </w:t>
      </w:r>
      <w:r w:rsidR="00584E1A" w:rsidRPr="0004134A">
        <w:rPr>
          <w:rFonts w:ascii="Times New Roman" w:hAnsi="Times New Roman" w:cs="Times New Roman"/>
          <w:bCs/>
          <w:sz w:val="24"/>
          <w:szCs w:val="24"/>
          <w:lang w:val="fr-FR"/>
        </w:rPr>
        <w:t xml:space="preserve">mise en œuvre </w:t>
      </w:r>
      <w:r w:rsidRPr="0004134A">
        <w:rPr>
          <w:rFonts w:ascii="Times New Roman" w:hAnsi="Times New Roman" w:cs="Times New Roman"/>
          <w:bCs/>
          <w:sz w:val="24"/>
          <w:szCs w:val="24"/>
          <w:lang w:val="fr-FR"/>
        </w:rPr>
        <w:t xml:space="preserve">dans les délais et selon le chronogramme prévu. </w:t>
      </w:r>
      <w:r w:rsidR="009D46C0" w:rsidRPr="0004134A">
        <w:rPr>
          <w:rFonts w:ascii="Times New Roman" w:hAnsi="Times New Roman" w:cs="Times New Roman"/>
          <w:bCs/>
          <w:sz w:val="24"/>
          <w:szCs w:val="24"/>
          <w:lang w:val="fr-FR"/>
        </w:rPr>
        <w:t>Ainsi</w:t>
      </w:r>
      <w:r w:rsidR="000B7444" w:rsidRPr="0004134A">
        <w:rPr>
          <w:rFonts w:ascii="Times New Roman" w:hAnsi="Times New Roman" w:cs="Times New Roman"/>
          <w:bCs/>
          <w:sz w:val="24"/>
          <w:szCs w:val="24"/>
          <w:lang w:val="fr-FR"/>
        </w:rPr>
        <w:t xml:space="preserve">, les organisations CIDEP et BEL-BURUNDI ont été freinées dans leur élan d’organiser </w:t>
      </w:r>
      <w:r w:rsidR="003F3F06" w:rsidRPr="0004134A">
        <w:rPr>
          <w:rFonts w:ascii="Times New Roman" w:hAnsi="Times New Roman" w:cs="Times New Roman"/>
          <w:bCs/>
          <w:sz w:val="24"/>
          <w:szCs w:val="24"/>
          <w:lang w:val="fr-FR"/>
        </w:rPr>
        <w:t>leurs activités suite à</w:t>
      </w:r>
      <w:r w:rsidR="00994ECA" w:rsidRPr="0004134A">
        <w:rPr>
          <w:rFonts w:ascii="Times New Roman" w:hAnsi="Times New Roman" w:cs="Times New Roman"/>
          <w:bCs/>
          <w:sz w:val="24"/>
          <w:szCs w:val="24"/>
          <w:lang w:val="fr-FR"/>
        </w:rPr>
        <w:t xml:space="preserve"> </w:t>
      </w:r>
      <w:r w:rsidR="000715F4" w:rsidRPr="0004134A">
        <w:rPr>
          <w:rFonts w:ascii="Times New Roman" w:hAnsi="Times New Roman" w:cs="Times New Roman"/>
          <w:bCs/>
          <w:sz w:val="24"/>
          <w:szCs w:val="24"/>
          <w:lang w:val="fr-FR"/>
        </w:rPr>
        <w:t>une</w:t>
      </w:r>
      <w:r w:rsidR="00994ECA" w:rsidRPr="0004134A">
        <w:rPr>
          <w:rFonts w:ascii="Times New Roman" w:hAnsi="Times New Roman" w:cs="Times New Roman"/>
          <w:bCs/>
          <w:sz w:val="24"/>
          <w:szCs w:val="24"/>
          <w:lang w:val="fr-FR"/>
        </w:rPr>
        <w:t xml:space="preserve"> incompréhension</w:t>
      </w:r>
      <w:r w:rsidR="000715F4" w:rsidRPr="0004134A">
        <w:rPr>
          <w:rFonts w:ascii="Times New Roman" w:hAnsi="Times New Roman" w:cs="Times New Roman"/>
          <w:bCs/>
          <w:sz w:val="24"/>
          <w:szCs w:val="24"/>
          <w:lang w:val="fr-FR"/>
        </w:rPr>
        <w:t xml:space="preserve"> méthodologique</w:t>
      </w:r>
      <w:r w:rsidR="00994ECA" w:rsidRPr="0004134A">
        <w:rPr>
          <w:rFonts w:ascii="Times New Roman" w:hAnsi="Times New Roman" w:cs="Times New Roman"/>
          <w:bCs/>
          <w:sz w:val="24"/>
          <w:szCs w:val="24"/>
          <w:lang w:val="fr-FR"/>
        </w:rPr>
        <w:t xml:space="preserve"> </w:t>
      </w:r>
      <w:r w:rsidR="00F95786" w:rsidRPr="0004134A">
        <w:rPr>
          <w:rFonts w:ascii="Times New Roman" w:hAnsi="Times New Roman" w:cs="Times New Roman"/>
          <w:bCs/>
          <w:sz w:val="24"/>
          <w:szCs w:val="24"/>
          <w:lang w:val="fr-FR"/>
        </w:rPr>
        <w:t>par le</w:t>
      </w:r>
      <w:r w:rsidR="003F3F06" w:rsidRPr="0004134A">
        <w:rPr>
          <w:rFonts w:ascii="Times New Roman" w:hAnsi="Times New Roman" w:cs="Times New Roman"/>
          <w:bCs/>
          <w:sz w:val="24"/>
          <w:szCs w:val="24"/>
          <w:lang w:val="fr-FR"/>
        </w:rPr>
        <w:t xml:space="preserve"> ministère </w:t>
      </w:r>
      <w:r w:rsidR="000715F4" w:rsidRPr="0004134A">
        <w:rPr>
          <w:rFonts w:ascii="Times New Roman" w:hAnsi="Times New Roman" w:cs="Times New Roman"/>
          <w:bCs/>
          <w:sz w:val="24"/>
          <w:szCs w:val="24"/>
          <w:lang w:val="fr-FR"/>
        </w:rPr>
        <w:t xml:space="preserve">ayant </w:t>
      </w:r>
      <w:r w:rsidR="003F3F06" w:rsidRPr="0004134A">
        <w:rPr>
          <w:rFonts w:ascii="Times New Roman" w:hAnsi="Times New Roman" w:cs="Times New Roman"/>
          <w:bCs/>
          <w:sz w:val="24"/>
          <w:szCs w:val="24"/>
          <w:lang w:val="fr-FR"/>
        </w:rPr>
        <w:t>l’Intérieur</w:t>
      </w:r>
      <w:r w:rsidR="000715F4" w:rsidRPr="0004134A">
        <w:rPr>
          <w:rFonts w:ascii="Times New Roman" w:hAnsi="Times New Roman" w:cs="Times New Roman"/>
          <w:bCs/>
          <w:sz w:val="24"/>
          <w:szCs w:val="24"/>
          <w:lang w:val="fr-FR"/>
        </w:rPr>
        <w:t xml:space="preserve"> dans ses attributions</w:t>
      </w:r>
      <w:r w:rsidR="003F3F06" w:rsidRPr="0004134A">
        <w:rPr>
          <w:rFonts w:ascii="Times New Roman" w:hAnsi="Times New Roman" w:cs="Times New Roman"/>
          <w:bCs/>
          <w:sz w:val="24"/>
          <w:szCs w:val="24"/>
          <w:lang w:val="fr-FR"/>
        </w:rPr>
        <w:t xml:space="preserve">. </w:t>
      </w:r>
    </w:p>
    <w:p w14:paraId="27CED063" w14:textId="024598B0" w:rsidR="009D46C0" w:rsidRPr="0004134A" w:rsidRDefault="009D46C0" w:rsidP="003F3F06">
      <w:pPr>
        <w:spacing w:after="0"/>
        <w:ind w:left="708"/>
        <w:jc w:val="both"/>
        <w:rPr>
          <w:rFonts w:ascii="Times New Roman" w:hAnsi="Times New Roman" w:cs="Times New Roman"/>
          <w:bCs/>
          <w:sz w:val="24"/>
          <w:szCs w:val="24"/>
          <w:lang w:val="fr-FR"/>
        </w:rPr>
      </w:pPr>
    </w:p>
    <w:p w14:paraId="42FF3B74" w14:textId="5E34206C" w:rsidR="009D46C0" w:rsidRPr="0004134A" w:rsidRDefault="009D46C0" w:rsidP="003F3F06">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A contrario, les </w:t>
      </w:r>
      <w:r w:rsidR="00584E1A" w:rsidRPr="0004134A">
        <w:rPr>
          <w:rFonts w:ascii="Times New Roman" w:hAnsi="Times New Roman" w:cs="Times New Roman"/>
          <w:bCs/>
          <w:sz w:val="24"/>
          <w:szCs w:val="24"/>
          <w:lang w:val="fr-FR"/>
        </w:rPr>
        <w:t xml:space="preserve">activités qui ne nécessitent pas des autorisations préalables au niveau du ministère de l’intérieur notamment les </w:t>
      </w:r>
      <w:r w:rsidRPr="0004134A">
        <w:rPr>
          <w:rFonts w:ascii="Times New Roman" w:hAnsi="Times New Roman" w:cs="Times New Roman"/>
          <w:bCs/>
          <w:sz w:val="24"/>
          <w:szCs w:val="24"/>
          <w:lang w:val="fr-FR"/>
        </w:rPr>
        <w:t>études</w:t>
      </w:r>
      <w:r w:rsidR="00584E1A" w:rsidRPr="0004134A">
        <w:rPr>
          <w:rFonts w:ascii="Times New Roman" w:hAnsi="Times New Roman" w:cs="Times New Roman"/>
          <w:bCs/>
          <w:sz w:val="24"/>
          <w:szCs w:val="24"/>
          <w:lang w:val="fr-FR"/>
        </w:rPr>
        <w:t>,</w:t>
      </w:r>
      <w:r w:rsidRPr="0004134A">
        <w:rPr>
          <w:rFonts w:ascii="Times New Roman" w:hAnsi="Times New Roman" w:cs="Times New Roman"/>
          <w:bCs/>
          <w:sz w:val="24"/>
          <w:szCs w:val="24"/>
          <w:lang w:val="fr-FR"/>
        </w:rPr>
        <w:t xml:space="preserve"> </w:t>
      </w:r>
      <w:r w:rsidR="00584E1A" w:rsidRPr="0004134A">
        <w:rPr>
          <w:rFonts w:ascii="Times New Roman" w:hAnsi="Times New Roman" w:cs="Times New Roman"/>
          <w:bCs/>
          <w:sz w:val="24"/>
          <w:szCs w:val="24"/>
          <w:lang w:val="fr-FR"/>
        </w:rPr>
        <w:t>l’</w:t>
      </w:r>
      <w:r w:rsidRPr="0004134A">
        <w:rPr>
          <w:rFonts w:ascii="Times New Roman" w:hAnsi="Times New Roman" w:cs="Times New Roman"/>
          <w:bCs/>
          <w:sz w:val="24"/>
          <w:szCs w:val="24"/>
          <w:lang w:val="fr-FR"/>
        </w:rPr>
        <w:t xml:space="preserve">atelier de dialogue intergénérationnel organisé par le CENAP </w:t>
      </w:r>
      <w:r w:rsidR="00584E1A" w:rsidRPr="0004134A">
        <w:rPr>
          <w:rFonts w:ascii="Times New Roman" w:hAnsi="Times New Roman" w:cs="Times New Roman"/>
          <w:bCs/>
          <w:sz w:val="24"/>
          <w:szCs w:val="24"/>
          <w:lang w:val="fr-FR"/>
        </w:rPr>
        <w:t xml:space="preserve">et </w:t>
      </w:r>
      <w:r w:rsidRPr="0004134A">
        <w:rPr>
          <w:rFonts w:ascii="Times New Roman" w:hAnsi="Times New Roman" w:cs="Times New Roman"/>
          <w:bCs/>
          <w:sz w:val="24"/>
          <w:szCs w:val="24"/>
          <w:lang w:val="fr-FR"/>
        </w:rPr>
        <w:t xml:space="preserve">qui </w:t>
      </w:r>
      <w:r w:rsidR="00584E1A" w:rsidRPr="0004134A">
        <w:rPr>
          <w:rFonts w:ascii="Times New Roman" w:hAnsi="Times New Roman" w:cs="Times New Roman"/>
          <w:bCs/>
          <w:sz w:val="24"/>
          <w:szCs w:val="24"/>
          <w:lang w:val="fr-FR"/>
        </w:rPr>
        <w:t xml:space="preserve">rentrait </w:t>
      </w:r>
      <w:r w:rsidRPr="0004134A">
        <w:rPr>
          <w:rFonts w:ascii="Times New Roman" w:hAnsi="Times New Roman" w:cs="Times New Roman"/>
          <w:bCs/>
          <w:sz w:val="24"/>
          <w:szCs w:val="24"/>
          <w:lang w:val="fr-FR"/>
        </w:rPr>
        <w:t>dans les activités habituelles de l’organisation</w:t>
      </w:r>
      <w:r w:rsidR="00584E1A" w:rsidRPr="0004134A">
        <w:rPr>
          <w:rFonts w:ascii="Times New Roman" w:hAnsi="Times New Roman" w:cs="Times New Roman"/>
          <w:bCs/>
          <w:sz w:val="24"/>
          <w:szCs w:val="24"/>
          <w:lang w:val="fr-FR"/>
        </w:rPr>
        <w:t>, ont pu être menées sans obstacles administratifs</w:t>
      </w:r>
      <w:r w:rsidRPr="0004134A">
        <w:rPr>
          <w:rFonts w:ascii="Times New Roman" w:hAnsi="Times New Roman" w:cs="Times New Roman"/>
          <w:bCs/>
          <w:sz w:val="24"/>
          <w:szCs w:val="24"/>
          <w:lang w:val="fr-FR"/>
        </w:rPr>
        <w:t xml:space="preserve">.  </w:t>
      </w:r>
    </w:p>
    <w:p w14:paraId="003A0A5C" w14:textId="77777777" w:rsidR="003F3F06" w:rsidRPr="0004134A" w:rsidRDefault="003F3F06" w:rsidP="003F3F06">
      <w:pPr>
        <w:spacing w:after="0"/>
        <w:ind w:left="708"/>
        <w:jc w:val="both"/>
        <w:rPr>
          <w:rFonts w:ascii="Times New Roman" w:hAnsi="Times New Roman" w:cs="Times New Roman"/>
          <w:b/>
          <w:sz w:val="24"/>
          <w:szCs w:val="24"/>
          <w:lang w:val="fr-FR"/>
        </w:rPr>
      </w:pPr>
    </w:p>
    <w:p w14:paraId="453930D8" w14:textId="6F5B7343" w:rsidR="0097691A" w:rsidRPr="0004134A" w:rsidRDefault="00B30D2E" w:rsidP="00C13A3F">
      <w:pPr>
        <w:pStyle w:val="ListParagraph"/>
        <w:numPr>
          <w:ilvl w:val="0"/>
          <w:numId w:val="47"/>
        </w:numPr>
        <w:spacing w:after="0" w:line="240" w:lineRule="auto"/>
        <w:rPr>
          <w:rFonts w:ascii="Times New Roman" w:hAnsi="Times New Roman" w:cs="Times New Roman"/>
          <w:b/>
          <w:sz w:val="24"/>
          <w:szCs w:val="24"/>
          <w:lang w:val="fr-FR"/>
        </w:rPr>
      </w:pPr>
      <w:r w:rsidRPr="0004134A">
        <w:rPr>
          <w:rFonts w:ascii="Times New Roman" w:hAnsi="Times New Roman" w:cs="Times New Roman"/>
          <w:b/>
          <w:sz w:val="24"/>
          <w:szCs w:val="24"/>
          <w:lang w:val="fr-FR"/>
        </w:rPr>
        <w:t>Défis et leçons apprises</w:t>
      </w:r>
      <w:r w:rsidR="0097691A" w:rsidRPr="0004134A">
        <w:rPr>
          <w:rFonts w:ascii="Times New Roman" w:hAnsi="Times New Roman" w:cs="Times New Roman"/>
          <w:b/>
          <w:sz w:val="24"/>
          <w:szCs w:val="24"/>
          <w:lang w:val="fr-FR"/>
        </w:rPr>
        <w:t xml:space="preserve"> </w:t>
      </w:r>
      <w:r w:rsidR="0097691A" w:rsidRPr="0004134A">
        <w:rPr>
          <w:rFonts w:ascii="Times New Roman" w:hAnsi="Times New Roman" w:cs="Times New Roman"/>
          <w:bCs/>
          <w:i/>
          <w:iCs/>
          <w:sz w:val="24"/>
          <w:szCs w:val="24"/>
          <w:lang w:val="fr-FR"/>
        </w:rPr>
        <w:t xml:space="preserve">(problèmes rencontrés dans la mise en œuvre et solutions apportées, survenance des risques et leur mitigation, histoires de succès ou d’échec, est-ce que les interventions sont appropriés pour les acteurs </w:t>
      </w:r>
      <w:r w:rsidR="003C1830" w:rsidRPr="0004134A">
        <w:rPr>
          <w:rFonts w:ascii="Times New Roman" w:hAnsi="Times New Roman" w:cs="Times New Roman"/>
          <w:bCs/>
          <w:i/>
          <w:iCs/>
          <w:sz w:val="24"/>
          <w:szCs w:val="24"/>
          <w:lang w:val="fr-FR"/>
        </w:rPr>
        <w:t>concernés ?</w:t>
      </w:r>
      <w:r w:rsidR="0097691A" w:rsidRPr="0004134A">
        <w:rPr>
          <w:rFonts w:ascii="Times New Roman" w:hAnsi="Times New Roman" w:cs="Times New Roman"/>
          <w:bCs/>
          <w:i/>
          <w:iCs/>
          <w:sz w:val="24"/>
          <w:szCs w:val="24"/>
          <w:lang w:val="fr-FR"/>
        </w:rPr>
        <w:t xml:space="preserve"> ajustements à apporter pour la continuation du l’activité)</w:t>
      </w:r>
    </w:p>
    <w:p w14:paraId="1993763C" w14:textId="6CE0FC95" w:rsidR="005C28A4" w:rsidRPr="0004134A" w:rsidRDefault="005C28A4" w:rsidP="00D53074">
      <w:pPr>
        <w:pStyle w:val="ListParagraph"/>
        <w:spacing w:after="0"/>
        <w:jc w:val="both"/>
        <w:rPr>
          <w:rFonts w:ascii="Times New Roman" w:hAnsi="Times New Roman" w:cs="Times New Roman"/>
          <w:b/>
          <w:sz w:val="24"/>
          <w:szCs w:val="24"/>
          <w:lang w:val="fr-FR"/>
        </w:rPr>
      </w:pPr>
    </w:p>
    <w:p w14:paraId="304DEF09" w14:textId="2F6B0960" w:rsidR="00C068A5" w:rsidRPr="0004134A" w:rsidRDefault="008F7891" w:rsidP="00D53074">
      <w:pPr>
        <w:pStyle w:val="ListParagraph"/>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6</w:t>
      </w:r>
      <w:r w:rsidR="00281666" w:rsidRPr="0004134A">
        <w:rPr>
          <w:rFonts w:ascii="Times New Roman" w:hAnsi="Times New Roman" w:cs="Times New Roman"/>
          <w:b/>
          <w:sz w:val="24"/>
          <w:szCs w:val="24"/>
          <w:lang w:val="fr-FR"/>
        </w:rPr>
        <w:t xml:space="preserve">.1. </w:t>
      </w:r>
      <w:r w:rsidR="00600676" w:rsidRPr="0004134A">
        <w:rPr>
          <w:rFonts w:ascii="Times New Roman" w:hAnsi="Times New Roman" w:cs="Times New Roman"/>
          <w:b/>
          <w:sz w:val="24"/>
          <w:szCs w:val="24"/>
          <w:lang w:val="fr-FR"/>
        </w:rPr>
        <w:t>Défis liés</w:t>
      </w:r>
      <w:r w:rsidR="00C068A5" w:rsidRPr="0004134A">
        <w:rPr>
          <w:rFonts w:ascii="Times New Roman" w:hAnsi="Times New Roman" w:cs="Times New Roman"/>
          <w:b/>
          <w:sz w:val="24"/>
          <w:szCs w:val="24"/>
          <w:lang w:val="fr-FR"/>
        </w:rPr>
        <w:t xml:space="preserve"> au contexte</w:t>
      </w:r>
      <w:r w:rsidR="005F0527" w:rsidRPr="0004134A">
        <w:rPr>
          <w:rFonts w:ascii="Times New Roman" w:hAnsi="Times New Roman" w:cs="Times New Roman"/>
          <w:b/>
          <w:sz w:val="24"/>
          <w:szCs w:val="24"/>
          <w:lang w:val="fr-FR"/>
        </w:rPr>
        <w:t xml:space="preserve"> et son impact sur l’agrément de NIMD et la mise en œuvre des activités</w:t>
      </w:r>
    </w:p>
    <w:p w14:paraId="7294406E" w14:textId="77777777" w:rsidR="00832DB9" w:rsidRPr="0004134A" w:rsidRDefault="00832DB9" w:rsidP="00D53074">
      <w:pPr>
        <w:pStyle w:val="ListParagraph"/>
        <w:spacing w:after="0"/>
        <w:jc w:val="both"/>
        <w:rPr>
          <w:rFonts w:ascii="Times New Roman" w:hAnsi="Times New Roman" w:cs="Times New Roman"/>
          <w:bCs/>
          <w:sz w:val="24"/>
          <w:szCs w:val="24"/>
          <w:lang w:val="fr-FR"/>
        </w:rPr>
      </w:pPr>
    </w:p>
    <w:p w14:paraId="30879FE7" w14:textId="07D458F4" w:rsidR="0078660E" w:rsidRPr="0004134A" w:rsidRDefault="00832DB9" w:rsidP="00724ADD">
      <w:pPr>
        <w:pStyle w:val="ListParagraph"/>
        <w:spacing w:after="0"/>
        <w:ind w:left="108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Le contexte burundais actuel est marqué par un discours politique tourné vers le développement économico-physique avec moins de considération pour les aspects « soft » du développement, en l’occurrence les questions de </w:t>
      </w:r>
      <w:r w:rsidR="000715F4" w:rsidRPr="0004134A">
        <w:rPr>
          <w:rFonts w:ascii="Times New Roman" w:hAnsi="Times New Roman" w:cs="Times New Roman"/>
          <w:bCs/>
          <w:sz w:val="24"/>
          <w:szCs w:val="24"/>
          <w:lang w:val="fr-FR"/>
        </w:rPr>
        <w:t xml:space="preserve">gouvernance politique, de </w:t>
      </w:r>
      <w:r w:rsidRPr="0004134A">
        <w:rPr>
          <w:rFonts w:ascii="Times New Roman" w:hAnsi="Times New Roman" w:cs="Times New Roman"/>
          <w:bCs/>
          <w:sz w:val="24"/>
          <w:szCs w:val="24"/>
          <w:lang w:val="fr-FR"/>
        </w:rPr>
        <w:t xml:space="preserve">droits humains, de participation inclusive ou de dialogue politique. </w:t>
      </w:r>
      <w:r w:rsidR="005F0527" w:rsidRPr="0004134A">
        <w:rPr>
          <w:rFonts w:ascii="Times New Roman" w:hAnsi="Times New Roman" w:cs="Times New Roman"/>
          <w:bCs/>
          <w:sz w:val="24"/>
          <w:szCs w:val="24"/>
          <w:lang w:val="fr-FR"/>
        </w:rPr>
        <w:t xml:space="preserve">Dans un tel contexte, une organisation qui travaille sur les questions de gouvernance et de démocratie n’est </w:t>
      </w:r>
      <w:r w:rsidR="00A4092B" w:rsidRPr="0004134A">
        <w:rPr>
          <w:rFonts w:ascii="Times New Roman" w:hAnsi="Times New Roman" w:cs="Times New Roman"/>
          <w:bCs/>
          <w:sz w:val="24"/>
          <w:szCs w:val="24"/>
          <w:lang w:val="fr-FR"/>
        </w:rPr>
        <w:t xml:space="preserve">pas </w:t>
      </w:r>
      <w:r w:rsidR="005F0527" w:rsidRPr="0004134A">
        <w:rPr>
          <w:rFonts w:ascii="Times New Roman" w:hAnsi="Times New Roman" w:cs="Times New Roman"/>
          <w:bCs/>
          <w:sz w:val="24"/>
          <w:szCs w:val="24"/>
          <w:lang w:val="fr-FR"/>
        </w:rPr>
        <w:t xml:space="preserve">autant bien accueillie qu’une autre qui serait engagée sur la </w:t>
      </w:r>
      <w:r w:rsidR="000715F4" w:rsidRPr="0004134A">
        <w:rPr>
          <w:rFonts w:ascii="Times New Roman" w:hAnsi="Times New Roman" w:cs="Times New Roman"/>
          <w:bCs/>
          <w:sz w:val="24"/>
          <w:szCs w:val="24"/>
          <w:lang w:val="fr-FR"/>
        </w:rPr>
        <w:t>promotion socio-économique</w:t>
      </w:r>
      <w:r w:rsidR="005F0527" w:rsidRPr="0004134A">
        <w:rPr>
          <w:rFonts w:ascii="Times New Roman" w:hAnsi="Times New Roman" w:cs="Times New Roman"/>
          <w:bCs/>
          <w:sz w:val="24"/>
          <w:szCs w:val="24"/>
          <w:lang w:val="fr-FR"/>
        </w:rPr>
        <w:t xml:space="preserve"> </w:t>
      </w:r>
    </w:p>
    <w:p w14:paraId="610E0BE0" w14:textId="77777777" w:rsidR="0078660E" w:rsidRPr="0004134A" w:rsidRDefault="0078660E" w:rsidP="00D53074">
      <w:pPr>
        <w:pStyle w:val="ListParagraph"/>
        <w:spacing w:after="0"/>
        <w:jc w:val="both"/>
        <w:rPr>
          <w:rFonts w:ascii="Times New Roman" w:hAnsi="Times New Roman" w:cs="Times New Roman"/>
          <w:bCs/>
          <w:sz w:val="24"/>
          <w:szCs w:val="24"/>
          <w:lang w:val="fr-FR"/>
        </w:rPr>
      </w:pPr>
    </w:p>
    <w:p w14:paraId="5AA45416" w14:textId="717C26C5" w:rsidR="00CF19D9" w:rsidRPr="0004134A" w:rsidRDefault="003C1100" w:rsidP="00724ADD">
      <w:pPr>
        <w:pStyle w:val="ListParagraph"/>
        <w:spacing w:after="0"/>
        <w:ind w:left="108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L’une des conséquences d</w:t>
      </w:r>
      <w:r w:rsidR="005F0527" w:rsidRPr="0004134A">
        <w:rPr>
          <w:rFonts w:ascii="Times New Roman" w:hAnsi="Times New Roman" w:cs="Times New Roman"/>
          <w:bCs/>
          <w:sz w:val="24"/>
          <w:szCs w:val="24"/>
          <w:lang w:val="fr-FR"/>
        </w:rPr>
        <w:t>e ce</w:t>
      </w:r>
      <w:r w:rsidRPr="0004134A">
        <w:rPr>
          <w:rFonts w:ascii="Times New Roman" w:hAnsi="Times New Roman" w:cs="Times New Roman"/>
          <w:bCs/>
          <w:sz w:val="24"/>
          <w:szCs w:val="24"/>
          <w:lang w:val="fr-FR"/>
        </w:rPr>
        <w:t xml:space="preserve"> contexte politique sur les activités du NIMD </w:t>
      </w:r>
      <w:r w:rsidR="00A4092B" w:rsidRPr="0004134A">
        <w:rPr>
          <w:rFonts w:ascii="Times New Roman" w:hAnsi="Times New Roman" w:cs="Times New Roman"/>
          <w:bCs/>
          <w:sz w:val="24"/>
          <w:szCs w:val="24"/>
          <w:lang w:val="fr-FR"/>
        </w:rPr>
        <w:t>est</w:t>
      </w:r>
      <w:r w:rsidRPr="0004134A">
        <w:rPr>
          <w:rFonts w:ascii="Times New Roman" w:hAnsi="Times New Roman" w:cs="Times New Roman"/>
          <w:bCs/>
          <w:sz w:val="24"/>
          <w:szCs w:val="24"/>
          <w:lang w:val="fr-FR"/>
        </w:rPr>
        <w:t xml:space="preserve"> le retard qu’a connu le processus de son agrément. En effet, le pouvoir est très regardant en ce qui concerne l’agrément de nouvelles ONG étrangères à la veille des élections dont les premières, législatives et locales, sont prévues en 2025, surtout pour une organisation qui travaille sur les questions de gouvernance et de démocratie.</w:t>
      </w:r>
      <w:r w:rsidR="00CF19D9" w:rsidRPr="0004134A">
        <w:rPr>
          <w:rFonts w:ascii="Times New Roman" w:hAnsi="Times New Roman" w:cs="Times New Roman"/>
          <w:bCs/>
          <w:sz w:val="24"/>
          <w:szCs w:val="24"/>
          <w:lang w:val="fr-FR"/>
        </w:rPr>
        <w:t xml:space="preserve"> </w:t>
      </w:r>
      <w:r w:rsidRPr="0004134A">
        <w:rPr>
          <w:rFonts w:ascii="Times New Roman" w:hAnsi="Times New Roman" w:cs="Times New Roman"/>
          <w:bCs/>
          <w:sz w:val="24"/>
          <w:szCs w:val="24"/>
          <w:lang w:val="fr-FR"/>
        </w:rPr>
        <w:t xml:space="preserve">Depuis les élections contestées de 2015, le Gouvernement Burundais est </w:t>
      </w:r>
      <w:r w:rsidR="00CD1940" w:rsidRPr="0004134A">
        <w:rPr>
          <w:rFonts w:ascii="Times New Roman" w:hAnsi="Times New Roman" w:cs="Times New Roman"/>
          <w:bCs/>
          <w:sz w:val="24"/>
          <w:szCs w:val="24"/>
          <w:lang w:val="fr-FR"/>
        </w:rPr>
        <w:t xml:space="preserve">devenu très sceptique face aux ONG étrangères, aux organisations de la société civile et aux médias en qui il voit des alliés de l’opposition. </w:t>
      </w:r>
    </w:p>
    <w:p w14:paraId="6D3AAC60" w14:textId="77777777" w:rsidR="00CF19D9" w:rsidRPr="0004134A" w:rsidRDefault="00CF19D9" w:rsidP="00CF19D9">
      <w:pPr>
        <w:pStyle w:val="ListParagraph"/>
        <w:rPr>
          <w:rFonts w:ascii="Times New Roman" w:hAnsi="Times New Roman" w:cs="Times New Roman"/>
          <w:bCs/>
          <w:sz w:val="24"/>
          <w:szCs w:val="24"/>
          <w:lang w:val="fr-FR"/>
        </w:rPr>
      </w:pPr>
    </w:p>
    <w:p w14:paraId="2DAAE33E" w14:textId="0DA696B3" w:rsidR="005F0527" w:rsidRPr="0004134A" w:rsidRDefault="005F0527" w:rsidP="00724ADD">
      <w:pPr>
        <w:pStyle w:val="ListParagraph"/>
        <w:spacing w:after="0"/>
        <w:ind w:left="108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L’autre élément du contexte burundais porte sur la flambée et la variation des prix des produits de première nécessité, ce qui un impact sur les budgets des partenaires et la mise en œuvre des activités. Cette fluctuation a fait qu’entre l’élaboration d’un budget et son exécution il est apparue qu’on arrive </w:t>
      </w:r>
      <w:r w:rsidRPr="0004134A">
        <w:rPr>
          <w:rFonts w:ascii="Times New Roman" w:hAnsi="Times New Roman" w:cs="Times New Roman"/>
          <w:bCs/>
          <w:sz w:val="24"/>
          <w:szCs w:val="24"/>
          <w:lang w:val="fr-FR"/>
        </w:rPr>
        <w:lastRenderedPageBreak/>
        <w:t xml:space="preserve">à une augmentation de plus de 50%. A titre d’illustration, un litre d’essence coûtait 3250 BIF au moment où BEL-BURUNDI et BWPD </w:t>
      </w:r>
      <w:r w:rsidR="00A4092B" w:rsidRPr="0004134A">
        <w:rPr>
          <w:rFonts w:ascii="Times New Roman" w:hAnsi="Times New Roman" w:cs="Times New Roman"/>
          <w:bCs/>
          <w:sz w:val="24"/>
          <w:szCs w:val="24"/>
          <w:lang w:val="fr-FR"/>
        </w:rPr>
        <w:t>planifiai</w:t>
      </w:r>
      <w:r w:rsidR="000715F4" w:rsidRPr="0004134A">
        <w:rPr>
          <w:rFonts w:ascii="Times New Roman" w:hAnsi="Times New Roman" w:cs="Times New Roman"/>
          <w:bCs/>
          <w:sz w:val="24"/>
          <w:szCs w:val="24"/>
          <w:lang w:val="fr-FR"/>
        </w:rPr>
        <w:t>en</w:t>
      </w:r>
      <w:r w:rsidR="00A4092B" w:rsidRPr="0004134A">
        <w:rPr>
          <w:rFonts w:ascii="Times New Roman" w:hAnsi="Times New Roman" w:cs="Times New Roman"/>
          <w:bCs/>
          <w:sz w:val="24"/>
          <w:szCs w:val="24"/>
          <w:lang w:val="fr-FR"/>
        </w:rPr>
        <w:t xml:space="preserve">t leurs activités </w:t>
      </w:r>
      <w:r w:rsidRPr="0004134A">
        <w:rPr>
          <w:rFonts w:ascii="Times New Roman" w:hAnsi="Times New Roman" w:cs="Times New Roman"/>
          <w:bCs/>
          <w:sz w:val="24"/>
          <w:szCs w:val="24"/>
          <w:lang w:val="fr-FR"/>
        </w:rPr>
        <w:t xml:space="preserve">et 4985 BIF </w:t>
      </w:r>
      <w:r w:rsidR="00A4092B" w:rsidRPr="0004134A">
        <w:rPr>
          <w:rFonts w:ascii="Times New Roman" w:hAnsi="Times New Roman" w:cs="Times New Roman"/>
          <w:bCs/>
          <w:sz w:val="24"/>
          <w:szCs w:val="24"/>
          <w:lang w:val="fr-FR"/>
        </w:rPr>
        <w:t xml:space="preserve">au moment ont été organisés </w:t>
      </w:r>
      <w:r w:rsidRPr="0004134A">
        <w:rPr>
          <w:rFonts w:ascii="Times New Roman" w:hAnsi="Times New Roman" w:cs="Times New Roman"/>
          <w:bCs/>
          <w:sz w:val="24"/>
          <w:szCs w:val="24"/>
          <w:lang w:val="fr-FR"/>
        </w:rPr>
        <w:t>les pré-colloques. Il en est de même pour les autres frais tels que les frais de restauration ou de transport</w:t>
      </w:r>
      <w:r w:rsidR="00A4092B" w:rsidRPr="0004134A">
        <w:rPr>
          <w:rFonts w:ascii="Times New Roman" w:hAnsi="Times New Roman" w:cs="Times New Roman"/>
          <w:bCs/>
          <w:sz w:val="24"/>
          <w:szCs w:val="24"/>
          <w:lang w:val="fr-FR"/>
        </w:rPr>
        <w:t xml:space="preserve"> des participants</w:t>
      </w:r>
      <w:r w:rsidRPr="0004134A">
        <w:rPr>
          <w:rFonts w:ascii="Times New Roman" w:hAnsi="Times New Roman" w:cs="Times New Roman"/>
          <w:bCs/>
          <w:sz w:val="24"/>
          <w:szCs w:val="24"/>
          <w:lang w:val="fr-FR"/>
        </w:rPr>
        <w:t>.</w:t>
      </w:r>
    </w:p>
    <w:p w14:paraId="00F9036D" w14:textId="77777777" w:rsidR="005F0527" w:rsidRPr="0004134A" w:rsidRDefault="005F0527" w:rsidP="00D53074">
      <w:pPr>
        <w:pStyle w:val="ListParagraph"/>
        <w:spacing w:after="0"/>
        <w:jc w:val="both"/>
        <w:rPr>
          <w:rFonts w:ascii="Times New Roman" w:hAnsi="Times New Roman" w:cs="Times New Roman"/>
          <w:bCs/>
          <w:sz w:val="24"/>
          <w:szCs w:val="24"/>
          <w:lang w:val="fr-FR"/>
        </w:rPr>
      </w:pPr>
    </w:p>
    <w:p w14:paraId="7A392B45" w14:textId="76CF3936" w:rsidR="00C068A5" w:rsidRPr="0004134A" w:rsidRDefault="008F7891" w:rsidP="00D53074">
      <w:pPr>
        <w:pStyle w:val="ListParagraph"/>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6</w:t>
      </w:r>
      <w:r w:rsidR="00281666" w:rsidRPr="0004134A">
        <w:rPr>
          <w:rFonts w:ascii="Times New Roman" w:hAnsi="Times New Roman" w:cs="Times New Roman"/>
          <w:b/>
          <w:sz w:val="24"/>
          <w:szCs w:val="24"/>
          <w:lang w:val="fr-FR"/>
        </w:rPr>
        <w:t xml:space="preserve">.2. </w:t>
      </w:r>
      <w:r w:rsidR="00600676" w:rsidRPr="0004134A">
        <w:rPr>
          <w:rFonts w:ascii="Times New Roman" w:hAnsi="Times New Roman" w:cs="Times New Roman"/>
          <w:b/>
          <w:sz w:val="24"/>
          <w:szCs w:val="24"/>
          <w:lang w:val="fr-FR"/>
        </w:rPr>
        <w:t>Incompréhensions liées à la n</w:t>
      </w:r>
      <w:r w:rsidR="00C068A5" w:rsidRPr="0004134A">
        <w:rPr>
          <w:rFonts w:ascii="Times New Roman" w:hAnsi="Times New Roman" w:cs="Times New Roman"/>
          <w:b/>
          <w:sz w:val="24"/>
          <w:szCs w:val="24"/>
          <w:lang w:val="fr-FR"/>
        </w:rPr>
        <w:t>ouvelle approche de partenariat basée sur la prestation de services</w:t>
      </w:r>
    </w:p>
    <w:p w14:paraId="25F3623E" w14:textId="77777777" w:rsidR="0078660E" w:rsidRPr="0004134A" w:rsidRDefault="0078660E" w:rsidP="00D53074">
      <w:pPr>
        <w:pStyle w:val="ListParagraph"/>
        <w:spacing w:after="0"/>
        <w:jc w:val="both"/>
        <w:rPr>
          <w:rFonts w:ascii="Times New Roman" w:hAnsi="Times New Roman" w:cs="Times New Roman"/>
          <w:bCs/>
          <w:sz w:val="24"/>
          <w:szCs w:val="24"/>
          <w:lang w:val="fr-FR"/>
        </w:rPr>
      </w:pPr>
    </w:p>
    <w:p w14:paraId="77A47106" w14:textId="069B3714" w:rsidR="00F22666" w:rsidRPr="0004134A" w:rsidRDefault="00F22666" w:rsidP="00724ADD">
      <w:pPr>
        <w:pStyle w:val="ListParagraph"/>
        <w:spacing w:after="0"/>
        <w:ind w:left="108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Le </w:t>
      </w:r>
      <w:r w:rsidR="005C4AFA" w:rsidRPr="0004134A">
        <w:rPr>
          <w:rFonts w:ascii="Times New Roman" w:hAnsi="Times New Roman" w:cs="Times New Roman"/>
          <w:bCs/>
          <w:sz w:val="24"/>
          <w:szCs w:val="24"/>
          <w:lang w:val="fr-FR"/>
        </w:rPr>
        <w:t xml:space="preserve">NIMD travaille au Burundi depuis 2008 où </w:t>
      </w:r>
      <w:r w:rsidRPr="0004134A">
        <w:rPr>
          <w:rFonts w:ascii="Times New Roman" w:hAnsi="Times New Roman" w:cs="Times New Roman"/>
          <w:bCs/>
          <w:sz w:val="24"/>
          <w:szCs w:val="24"/>
          <w:lang w:val="fr-FR"/>
        </w:rPr>
        <w:t xml:space="preserve">il a mis en œuvre un certain nombre de programmes visant à encourager le dialogue, à développer les compétences, à promouvoir l’inclusion et à renforcer l’infrastructure démocratique au Burundi. Depuis cette année, la mise en œuvre opérationnelle des activités était assurée par l’organisation partenaire </w:t>
      </w:r>
      <w:r w:rsidR="00A4092B" w:rsidRPr="0004134A">
        <w:rPr>
          <w:rFonts w:ascii="Times New Roman" w:hAnsi="Times New Roman" w:cs="Times New Roman"/>
          <w:bCs/>
          <w:sz w:val="24"/>
          <w:szCs w:val="24"/>
          <w:lang w:val="fr-FR"/>
        </w:rPr>
        <w:t>« </w:t>
      </w:r>
      <w:r w:rsidRPr="0004134A">
        <w:rPr>
          <w:rFonts w:ascii="Times New Roman" w:hAnsi="Times New Roman" w:cs="Times New Roman"/>
          <w:bCs/>
          <w:sz w:val="24"/>
          <w:szCs w:val="24"/>
          <w:lang w:val="fr-FR"/>
        </w:rPr>
        <w:t>Burundi Leadership Training Program</w:t>
      </w:r>
      <w:r w:rsidR="00A4092B" w:rsidRPr="0004134A">
        <w:rPr>
          <w:rFonts w:ascii="Times New Roman" w:hAnsi="Times New Roman" w:cs="Times New Roman"/>
          <w:bCs/>
          <w:sz w:val="24"/>
          <w:szCs w:val="24"/>
          <w:lang w:val="fr-FR"/>
        </w:rPr>
        <w:t> »</w:t>
      </w:r>
      <w:r w:rsidRPr="0004134A">
        <w:rPr>
          <w:rFonts w:ascii="Times New Roman" w:hAnsi="Times New Roman" w:cs="Times New Roman"/>
          <w:bCs/>
          <w:sz w:val="24"/>
          <w:szCs w:val="24"/>
          <w:lang w:val="fr-FR"/>
        </w:rPr>
        <w:t xml:space="preserve"> (BLTP), avec l’appui stratégique et programmatique fourni à distance par l’équipe </w:t>
      </w:r>
      <w:r w:rsidR="000715F4" w:rsidRPr="0004134A">
        <w:rPr>
          <w:rFonts w:ascii="Times New Roman" w:hAnsi="Times New Roman" w:cs="Times New Roman"/>
          <w:bCs/>
          <w:sz w:val="24"/>
          <w:szCs w:val="24"/>
          <w:lang w:val="fr-FR"/>
        </w:rPr>
        <w:t xml:space="preserve">NIMD </w:t>
      </w:r>
      <w:r w:rsidRPr="0004134A">
        <w:rPr>
          <w:rFonts w:ascii="Times New Roman" w:hAnsi="Times New Roman" w:cs="Times New Roman"/>
          <w:bCs/>
          <w:sz w:val="24"/>
          <w:szCs w:val="24"/>
          <w:lang w:val="fr-FR"/>
        </w:rPr>
        <w:t>du siège à La Haye. Le</w:t>
      </w:r>
      <w:r w:rsidR="005C4AFA" w:rsidRPr="0004134A">
        <w:rPr>
          <w:rFonts w:ascii="Times New Roman" w:hAnsi="Times New Roman" w:cs="Times New Roman"/>
          <w:bCs/>
          <w:sz w:val="24"/>
          <w:szCs w:val="24"/>
          <w:lang w:val="fr-FR"/>
        </w:rPr>
        <w:t xml:space="preserve"> dernier programme </w:t>
      </w:r>
      <w:r w:rsidRPr="0004134A">
        <w:rPr>
          <w:rFonts w:ascii="Times New Roman" w:hAnsi="Times New Roman" w:cs="Times New Roman"/>
          <w:bCs/>
          <w:sz w:val="24"/>
          <w:szCs w:val="24"/>
          <w:lang w:val="fr-FR"/>
        </w:rPr>
        <w:t>avec le BLTP</w:t>
      </w:r>
      <w:r w:rsidR="005C4AFA" w:rsidRPr="0004134A">
        <w:rPr>
          <w:rFonts w:ascii="Times New Roman" w:hAnsi="Times New Roman" w:cs="Times New Roman"/>
          <w:bCs/>
          <w:sz w:val="24"/>
          <w:szCs w:val="24"/>
          <w:lang w:val="fr-FR"/>
        </w:rPr>
        <w:t xml:space="preserve"> a pris fin en 2022</w:t>
      </w:r>
      <w:r w:rsidR="000715F4" w:rsidRPr="0004134A">
        <w:rPr>
          <w:rFonts w:ascii="Times New Roman" w:hAnsi="Times New Roman" w:cs="Times New Roman"/>
          <w:bCs/>
          <w:sz w:val="24"/>
          <w:szCs w:val="24"/>
          <w:lang w:val="fr-FR"/>
        </w:rPr>
        <w:t xml:space="preserve"> avec le projet « Renforcement de la culture démocratique et de l’Etat de droit au Burundi »</w:t>
      </w:r>
      <w:r w:rsidRPr="0004134A">
        <w:rPr>
          <w:rFonts w:ascii="Times New Roman" w:hAnsi="Times New Roman" w:cs="Times New Roman"/>
          <w:bCs/>
          <w:sz w:val="24"/>
          <w:szCs w:val="24"/>
          <w:lang w:val="fr-FR"/>
        </w:rPr>
        <w:t xml:space="preserve">. A partir de cette date, </w:t>
      </w:r>
      <w:r w:rsidR="005C4AFA" w:rsidRPr="0004134A">
        <w:rPr>
          <w:rFonts w:ascii="Times New Roman" w:hAnsi="Times New Roman" w:cs="Times New Roman"/>
          <w:bCs/>
          <w:sz w:val="24"/>
          <w:szCs w:val="24"/>
          <w:lang w:val="fr-FR"/>
        </w:rPr>
        <w:t>le NIMD</w:t>
      </w:r>
      <w:r w:rsidRPr="0004134A">
        <w:rPr>
          <w:rFonts w:ascii="Times New Roman" w:hAnsi="Times New Roman" w:cs="Times New Roman"/>
          <w:bCs/>
          <w:sz w:val="24"/>
          <w:szCs w:val="24"/>
          <w:lang w:val="fr-FR"/>
        </w:rPr>
        <w:t xml:space="preserve"> a commencé à réfléchir sur le processus d’installation d’un bureau-pays </w:t>
      </w:r>
      <w:r w:rsidR="000715F4" w:rsidRPr="0004134A">
        <w:rPr>
          <w:rFonts w:ascii="Times New Roman" w:hAnsi="Times New Roman" w:cs="Times New Roman"/>
          <w:bCs/>
          <w:sz w:val="24"/>
          <w:szCs w:val="24"/>
          <w:lang w:val="fr-FR"/>
        </w:rPr>
        <w:t xml:space="preserve">au </w:t>
      </w:r>
      <w:r w:rsidR="001B28BF" w:rsidRPr="0004134A">
        <w:rPr>
          <w:rFonts w:ascii="Times New Roman" w:hAnsi="Times New Roman" w:cs="Times New Roman"/>
          <w:bCs/>
          <w:sz w:val="24"/>
          <w:szCs w:val="24"/>
          <w:lang w:val="fr-FR"/>
        </w:rPr>
        <w:t>Burundi,</w:t>
      </w:r>
      <w:r w:rsidR="00471DC8" w:rsidRPr="0004134A">
        <w:rPr>
          <w:rFonts w:ascii="Times New Roman" w:hAnsi="Times New Roman" w:cs="Times New Roman"/>
          <w:bCs/>
          <w:sz w:val="24"/>
          <w:szCs w:val="24"/>
          <w:lang w:val="fr-FR"/>
        </w:rPr>
        <w:t xml:space="preserve"> </w:t>
      </w:r>
      <w:r w:rsidR="001B28BF" w:rsidRPr="0004134A">
        <w:rPr>
          <w:rFonts w:ascii="Times New Roman" w:hAnsi="Times New Roman" w:cs="Times New Roman"/>
          <w:bCs/>
          <w:sz w:val="24"/>
          <w:szCs w:val="24"/>
          <w:lang w:val="fr-FR"/>
        </w:rPr>
        <w:t xml:space="preserve">à des fins </w:t>
      </w:r>
      <w:r w:rsidR="00A959FF" w:rsidRPr="0004134A">
        <w:rPr>
          <w:rFonts w:ascii="Times New Roman" w:hAnsi="Times New Roman" w:cs="Times New Roman"/>
          <w:bCs/>
          <w:sz w:val="24"/>
          <w:szCs w:val="24"/>
          <w:lang w:val="fr-FR"/>
        </w:rPr>
        <w:t>de mobilisation</w:t>
      </w:r>
      <w:r w:rsidRPr="0004134A">
        <w:rPr>
          <w:rFonts w:ascii="Times New Roman" w:hAnsi="Times New Roman" w:cs="Times New Roman"/>
          <w:bCs/>
          <w:sz w:val="24"/>
          <w:szCs w:val="24"/>
          <w:lang w:val="fr-FR"/>
        </w:rPr>
        <w:t xml:space="preserve"> de nouveaux financements</w:t>
      </w:r>
      <w:r w:rsidR="00A959FF" w:rsidRPr="0004134A">
        <w:rPr>
          <w:rFonts w:ascii="Times New Roman" w:hAnsi="Times New Roman" w:cs="Times New Roman"/>
          <w:bCs/>
          <w:sz w:val="24"/>
          <w:szCs w:val="24"/>
          <w:lang w:val="fr-FR"/>
        </w:rPr>
        <w:t xml:space="preserve"> et d’assurer un suivi rapproché de l’exécution des projets dont il est premier répondant. </w:t>
      </w:r>
      <w:r w:rsidRPr="0004134A">
        <w:rPr>
          <w:rFonts w:ascii="Times New Roman" w:hAnsi="Times New Roman" w:cs="Times New Roman"/>
          <w:bCs/>
          <w:sz w:val="24"/>
          <w:szCs w:val="24"/>
          <w:lang w:val="fr-FR"/>
        </w:rPr>
        <w:t xml:space="preserve"> </w:t>
      </w:r>
      <w:r w:rsidR="00A959FF" w:rsidRPr="0004134A">
        <w:rPr>
          <w:rFonts w:ascii="Times New Roman" w:hAnsi="Times New Roman" w:cs="Times New Roman"/>
          <w:bCs/>
          <w:sz w:val="24"/>
          <w:szCs w:val="24"/>
          <w:lang w:val="fr-FR"/>
        </w:rPr>
        <w:t>C’est</w:t>
      </w:r>
      <w:r w:rsidRPr="0004134A">
        <w:rPr>
          <w:rFonts w:ascii="Times New Roman" w:hAnsi="Times New Roman" w:cs="Times New Roman"/>
          <w:bCs/>
          <w:sz w:val="24"/>
          <w:szCs w:val="24"/>
          <w:lang w:val="fr-FR"/>
        </w:rPr>
        <w:t xml:space="preserve"> dans ce cadre que le projet FIPP a vu le jour avec l</w:t>
      </w:r>
      <w:r w:rsidR="001318D6" w:rsidRPr="0004134A">
        <w:rPr>
          <w:rFonts w:ascii="Times New Roman" w:hAnsi="Times New Roman" w:cs="Times New Roman"/>
          <w:bCs/>
          <w:sz w:val="24"/>
          <w:szCs w:val="24"/>
          <w:lang w:val="fr-FR"/>
        </w:rPr>
        <w:t xml:space="preserve">’appui financier </w:t>
      </w:r>
      <w:r w:rsidRPr="0004134A">
        <w:rPr>
          <w:rFonts w:ascii="Times New Roman" w:hAnsi="Times New Roman" w:cs="Times New Roman"/>
          <w:bCs/>
          <w:sz w:val="24"/>
          <w:szCs w:val="24"/>
          <w:lang w:val="fr-FR"/>
        </w:rPr>
        <w:t>de l’Ambassade des Pays-Bas au Burundi.</w:t>
      </w:r>
    </w:p>
    <w:p w14:paraId="26C17DBF" w14:textId="5CCD8ADF" w:rsidR="00F22666" w:rsidRPr="0004134A" w:rsidRDefault="00F22666" w:rsidP="00D53074">
      <w:pPr>
        <w:pStyle w:val="ListParagraph"/>
        <w:spacing w:after="0"/>
        <w:jc w:val="both"/>
        <w:rPr>
          <w:rFonts w:ascii="Times New Roman" w:hAnsi="Times New Roman" w:cs="Times New Roman"/>
          <w:bCs/>
          <w:sz w:val="24"/>
          <w:szCs w:val="24"/>
          <w:lang w:val="fr-FR"/>
        </w:rPr>
      </w:pPr>
    </w:p>
    <w:p w14:paraId="53D821B3" w14:textId="733559B1" w:rsidR="008D7D45" w:rsidRPr="0004134A" w:rsidRDefault="001318D6" w:rsidP="00724ADD">
      <w:pPr>
        <w:pStyle w:val="ListParagraph"/>
        <w:spacing w:after="0"/>
        <w:ind w:left="108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Avec </w:t>
      </w:r>
      <w:r w:rsidR="00A4092B" w:rsidRPr="0004134A">
        <w:rPr>
          <w:rFonts w:ascii="Times New Roman" w:hAnsi="Times New Roman" w:cs="Times New Roman"/>
          <w:bCs/>
          <w:sz w:val="24"/>
          <w:szCs w:val="24"/>
          <w:lang w:val="fr-FR"/>
        </w:rPr>
        <w:t>cette</w:t>
      </w:r>
      <w:r w:rsidRPr="0004134A">
        <w:rPr>
          <w:rFonts w:ascii="Times New Roman" w:hAnsi="Times New Roman" w:cs="Times New Roman"/>
          <w:bCs/>
          <w:sz w:val="24"/>
          <w:szCs w:val="24"/>
          <w:lang w:val="fr-FR"/>
        </w:rPr>
        <w:t xml:space="preserve"> présence physique de NIMD au Burundi, la gestion des partenariats et des activités lui incombe, y compris la gestion opérationnelle, </w:t>
      </w:r>
      <w:r w:rsidR="008D7D45" w:rsidRPr="0004134A">
        <w:rPr>
          <w:rFonts w:ascii="Times New Roman" w:hAnsi="Times New Roman" w:cs="Times New Roman"/>
          <w:bCs/>
          <w:sz w:val="24"/>
          <w:szCs w:val="24"/>
          <w:lang w:val="fr-FR"/>
        </w:rPr>
        <w:t xml:space="preserve">jadis assurée par le BLTP, ce qui a créé des incompréhensions auprès de ce dernier, habitué à l’ancienne approche « bailleur-partenaire de mise en œuvre ». Il a donc </w:t>
      </w:r>
      <w:r w:rsidR="001340D3" w:rsidRPr="0004134A">
        <w:rPr>
          <w:rFonts w:ascii="Times New Roman" w:hAnsi="Times New Roman" w:cs="Times New Roman"/>
          <w:bCs/>
          <w:sz w:val="24"/>
          <w:szCs w:val="24"/>
          <w:lang w:val="fr-FR"/>
        </w:rPr>
        <w:t xml:space="preserve">fallu beaucoup de communications et de réunions entre les deux organisations pour que la nouvelle approche basée sur la mise en œuvre directe </w:t>
      </w:r>
      <w:r w:rsidR="002513CB" w:rsidRPr="0004134A">
        <w:rPr>
          <w:rFonts w:ascii="Times New Roman" w:hAnsi="Times New Roman" w:cs="Times New Roman"/>
          <w:bCs/>
          <w:sz w:val="24"/>
          <w:szCs w:val="24"/>
          <w:lang w:val="fr-FR"/>
        </w:rPr>
        <w:t xml:space="preserve">par NIMD </w:t>
      </w:r>
      <w:r w:rsidR="001340D3" w:rsidRPr="0004134A">
        <w:rPr>
          <w:rFonts w:ascii="Times New Roman" w:hAnsi="Times New Roman" w:cs="Times New Roman"/>
          <w:bCs/>
          <w:sz w:val="24"/>
          <w:szCs w:val="24"/>
          <w:lang w:val="fr-FR"/>
        </w:rPr>
        <w:t>ou à travers des organisations</w:t>
      </w:r>
      <w:r w:rsidR="00B01504" w:rsidRPr="0004134A" w:rsidDel="00B01504">
        <w:rPr>
          <w:rFonts w:ascii="Times New Roman" w:hAnsi="Times New Roman" w:cs="Times New Roman"/>
          <w:bCs/>
          <w:sz w:val="24"/>
          <w:szCs w:val="24"/>
          <w:lang w:val="fr-FR"/>
        </w:rPr>
        <w:t xml:space="preserve"> </w:t>
      </w:r>
      <w:r w:rsidR="001340D3" w:rsidRPr="0004134A">
        <w:rPr>
          <w:rFonts w:ascii="Times New Roman" w:hAnsi="Times New Roman" w:cs="Times New Roman"/>
          <w:bCs/>
          <w:sz w:val="24"/>
          <w:szCs w:val="24"/>
          <w:lang w:val="fr-FR"/>
        </w:rPr>
        <w:t>« prestataires de services » puisse être comprise, ce qui a retardé la conclusion du partenariat NIMD-BLTP sous cette nouvelle approche</w:t>
      </w:r>
      <w:r w:rsidR="00A959FF" w:rsidRPr="0004134A">
        <w:rPr>
          <w:rFonts w:ascii="Times New Roman" w:hAnsi="Times New Roman" w:cs="Times New Roman"/>
          <w:bCs/>
          <w:sz w:val="24"/>
          <w:szCs w:val="24"/>
          <w:lang w:val="fr-FR"/>
        </w:rPr>
        <w:t xml:space="preserve"> qui se veut être</w:t>
      </w:r>
      <w:r w:rsidR="001340D3" w:rsidRPr="0004134A">
        <w:rPr>
          <w:rFonts w:ascii="Times New Roman" w:hAnsi="Times New Roman" w:cs="Times New Roman"/>
          <w:bCs/>
          <w:sz w:val="24"/>
          <w:szCs w:val="24"/>
          <w:lang w:val="fr-FR"/>
        </w:rPr>
        <w:t xml:space="preserve"> matérialisée par la signature de contrats de prestation de services pour les activités convenues entre les deux parties.   </w:t>
      </w:r>
    </w:p>
    <w:p w14:paraId="34DD03C1" w14:textId="72213A76" w:rsidR="00C068A5" w:rsidRPr="0004134A" w:rsidRDefault="00C068A5" w:rsidP="00D53074">
      <w:pPr>
        <w:pStyle w:val="ListParagraph"/>
        <w:spacing w:after="0"/>
        <w:jc w:val="both"/>
        <w:rPr>
          <w:rFonts w:ascii="Times New Roman" w:hAnsi="Times New Roman" w:cs="Times New Roman"/>
          <w:b/>
          <w:color w:val="FF0000"/>
          <w:sz w:val="24"/>
          <w:szCs w:val="24"/>
          <w:lang w:val="fr-FR"/>
        </w:rPr>
      </w:pPr>
    </w:p>
    <w:p w14:paraId="28280944" w14:textId="77777777" w:rsidR="0097691A" w:rsidRPr="0004134A" w:rsidRDefault="0097691A" w:rsidP="00C13A3F">
      <w:pPr>
        <w:pStyle w:val="ListParagraph"/>
        <w:numPr>
          <w:ilvl w:val="0"/>
          <w:numId w:val="47"/>
        </w:numPr>
        <w:spacing w:after="0" w:line="240" w:lineRule="auto"/>
        <w:rPr>
          <w:rFonts w:ascii="Times New Roman" w:hAnsi="Times New Roman" w:cs="Times New Roman"/>
          <w:b/>
          <w:sz w:val="24"/>
          <w:szCs w:val="24"/>
          <w:lang w:val="fr-FR"/>
        </w:rPr>
      </w:pPr>
      <w:r w:rsidRPr="0004134A">
        <w:rPr>
          <w:rFonts w:ascii="Times New Roman" w:hAnsi="Times New Roman" w:cs="Times New Roman"/>
          <w:b/>
          <w:sz w:val="24"/>
          <w:szCs w:val="24"/>
          <w:lang w:val="fr-FR"/>
        </w:rPr>
        <w:t>Mise à jour de l’analyse de risque</w:t>
      </w:r>
    </w:p>
    <w:p w14:paraId="5BA6C6DE" w14:textId="657FA384" w:rsidR="0097691A" w:rsidRPr="0004134A" w:rsidRDefault="0097691A" w:rsidP="0097691A">
      <w:pPr>
        <w:pStyle w:val="ListParagraph"/>
        <w:spacing w:after="0"/>
        <w:jc w:val="both"/>
        <w:rPr>
          <w:rFonts w:ascii="Times New Roman" w:hAnsi="Times New Roman" w:cs="Times New Roman"/>
          <w:b/>
          <w:sz w:val="24"/>
          <w:szCs w:val="24"/>
          <w:lang w:val="fr-FR"/>
        </w:rPr>
      </w:pPr>
    </w:p>
    <w:p w14:paraId="18ED6177" w14:textId="77777777" w:rsidR="00E17887" w:rsidRPr="0004134A" w:rsidRDefault="00C90895" w:rsidP="0097691A">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Au moment de la rédaction du projet FIPP, trois types de risques avaient été identifiés à savoir les risques contextuels, les risques programmatiques et les risques organisationnels suivant la typologie </w:t>
      </w:r>
      <w:r w:rsidR="004C6DAE" w:rsidRPr="0004134A">
        <w:rPr>
          <w:rFonts w:ascii="Times New Roman" w:hAnsi="Times New Roman" w:cs="Times New Roman"/>
          <w:bCs/>
          <w:sz w:val="24"/>
          <w:szCs w:val="24"/>
          <w:lang w:val="fr-FR"/>
        </w:rPr>
        <w:t xml:space="preserve">reprise dans le tableau qui suit. </w:t>
      </w:r>
    </w:p>
    <w:p w14:paraId="33C31082" w14:textId="77777777" w:rsidR="00022FA2" w:rsidRPr="0004134A" w:rsidRDefault="00022FA2" w:rsidP="0097691A">
      <w:pPr>
        <w:pStyle w:val="ListParagraph"/>
        <w:spacing w:after="0"/>
        <w:jc w:val="both"/>
        <w:rPr>
          <w:rFonts w:ascii="Times New Roman" w:hAnsi="Times New Roman" w:cs="Times New Roman"/>
          <w:bCs/>
          <w:sz w:val="24"/>
          <w:szCs w:val="24"/>
          <w:lang w:val="fr-FR"/>
        </w:rPr>
      </w:pPr>
    </w:p>
    <w:p w14:paraId="15E9F22D" w14:textId="77777777" w:rsidR="0025539A" w:rsidRPr="0004134A" w:rsidRDefault="0025539A" w:rsidP="0097691A">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De façon générale, la probabilité de survenance des risques n’a pas beaucoup évolué tout au long de l’année. Cependant, les risques liés à l’organisation des élections méritent une attention particulière. Ainsi, nous jugeons que :</w:t>
      </w:r>
    </w:p>
    <w:p w14:paraId="4D58D677" w14:textId="77777777" w:rsidR="0025539A" w:rsidRPr="0004134A" w:rsidRDefault="0025539A" w:rsidP="0097691A">
      <w:pPr>
        <w:pStyle w:val="ListParagraph"/>
        <w:spacing w:after="0"/>
        <w:jc w:val="both"/>
        <w:rPr>
          <w:rFonts w:ascii="Times New Roman" w:hAnsi="Times New Roman" w:cs="Times New Roman"/>
          <w:bCs/>
          <w:sz w:val="24"/>
          <w:szCs w:val="24"/>
          <w:lang w:val="fr-FR"/>
        </w:rPr>
      </w:pPr>
    </w:p>
    <w:p w14:paraId="4DF0592C" w14:textId="0698CE12" w:rsidR="0025539A" w:rsidRPr="0004134A" w:rsidRDefault="0025539A" w:rsidP="0025539A">
      <w:pPr>
        <w:pStyle w:val="ListParagraph"/>
        <w:numPr>
          <w:ilvl w:val="0"/>
          <w:numId w:val="46"/>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La probabilité du risque </w:t>
      </w:r>
      <w:r w:rsidRPr="0004134A">
        <w:rPr>
          <w:rFonts w:ascii="Times New Roman" w:hAnsi="Times New Roman" w:cs="Times New Roman"/>
          <w:bCs/>
          <w:i/>
          <w:iCs/>
          <w:sz w:val="24"/>
          <w:szCs w:val="24"/>
          <w:lang w:val="fr-FR"/>
        </w:rPr>
        <w:t>d’a</w:t>
      </w:r>
      <w:r w:rsidR="00022FA2" w:rsidRPr="0004134A">
        <w:rPr>
          <w:rFonts w:ascii="Times New Roman" w:hAnsi="Times New Roman" w:cs="Times New Roman"/>
          <w:i/>
          <w:iCs/>
          <w:sz w:val="24"/>
          <w:szCs w:val="24"/>
          <w:lang w:val="fr-FR"/>
        </w:rPr>
        <w:t>ugmentation de</w:t>
      </w:r>
      <w:r w:rsidRPr="0004134A">
        <w:rPr>
          <w:rFonts w:ascii="Times New Roman" w:hAnsi="Times New Roman" w:cs="Times New Roman"/>
          <w:i/>
          <w:iCs/>
          <w:sz w:val="24"/>
          <w:szCs w:val="24"/>
          <w:lang w:val="fr-FR"/>
        </w:rPr>
        <w:t>s</w:t>
      </w:r>
      <w:r w:rsidR="00022FA2" w:rsidRPr="0004134A">
        <w:rPr>
          <w:rFonts w:ascii="Times New Roman" w:hAnsi="Times New Roman" w:cs="Times New Roman"/>
          <w:i/>
          <w:iCs/>
          <w:sz w:val="24"/>
          <w:szCs w:val="24"/>
          <w:lang w:val="fr-FR"/>
        </w:rPr>
        <w:t xml:space="preserve"> violence</w:t>
      </w:r>
      <w:r w:rsidRPr="0004134A">
        <w:rPr>
          <w:rFonts w:ascii="Times New Roman" w:hAnsi="Times New Roman" w:cs="Times New Roman"/>
          <w:i/>
          <w:iCs/>
          <w:sz w:val="24"/>
          <w:szCs w:val="24"/>
          <w:lang w:val="fr-FR"/>
        </w:rPr>
        <w:t>s</w:t>
      </w:r>
      <w:r w:rsidR="00022FA2" w:rsidRPr="0004134A">
        <w:rPr>
          <w:rFonts w:ascii="Times New Roman" w:hAnsi="Times New Roman" w:cs="Times New Roman"/>
          <w:i/>
          <w:iCs/>
          <w:sz w:val="24"/>
          <w:szCs w:val="24"/>
          <w:lang w:val="fr-FR"/>
        </w:rPr>
        <w:t xml:space="preserve"> et des violations des droits de l'homme, intimidation, en particulier à l'approche des élections</w:t>
      </w:r>
      <w:r w:rsidRPr="0004134A">
        <w:rPr>
          <w:rFonts w:ascii="Times New Roman" w:hAnsi="Times New Roman" w:cs="Times New Roman"/>
          <w:i/>
          <w:iCs/>
          <w:sz w:val="24"/>
          <w:szCs w:val="24"/>
          <w:lang w:val="fr-FR"/>
        </w:rPr>
        <w:t xml:space="preserve">, </w:t>
      </w:r>
      <w:r w:rsidRPr="0004134A">
        <w:rPr>
          <w:rFonts w:ascii="Times New Roman" w:hAnsi="Times New Roman" w:cs="Times New Roman"/>
          <w:bCs/>
          <w:i/>
          <w:iCs/>
          <w:sz w:val="24"/>
          <w:szCs w:val="24"/>
          <w:lang w:val="fr-FR"/>
        </w:rPr>
        <w:t xml:space="preserve">passe de « faible à moyen » à « moyen à </w:t>
      </w:r>
      <w:proofErr w:type="spellStart"/>
      <w:r w:rsidRPr="0004134A">
        <w:rPr>
          <w:rFonts w:ascii="Times New Roman" w:hAnsi="Times New Roman" w:cs="Times New Roman"/>
          <w:bCs/>
          <w:i/>
          <w:iCs/>
          <w:sz w:val="24"/>
          <w:szCs w:val="24"/>
          <w:lang w:val="fr-FR"/>
        </w:rPr>
        <w:t>élevée</w:t>
      </w:r>
      <w:proofErr w:type="spellEnd"/>
      <w:r w:rsidRPr="0004134A">
        <w:rPr>
          <w:rFonts w:ascii="Times New Roman" w:hAnsi="Times New Roman" w:cs="Times New Roman"/>
          <w:bCs/>
          <w:i/>
          <w:iCs/>
          <w:sz w:val="24"/>
          <w:szCs w:val="24"/>
          <w:lang w:val="fr-FR"/>
        </w:rPr>
        <w:t xml:space="preserve"> ». </w:t>
      </w:r>
      <w:r w:rsidRPr="0004134A">
        <w:rPr>
          <w:rFonts w:ascii="Times New Roman" w:hAnsi="Times New Roman" w:cs="Times New Roman"/>
          <w:bCs/>
          <w:sz w:val="24"/>
          <w:szCs w:val="24"/>
          <w:lang w:val="fr-FR"/>
        </w:rPr>
        <w:t xml:space="preserve">En effet, les relations entre le CNDD-FDD et le pouvoir qu’il incarne d’un côté, et le CNL, principal parti d’opposition de l’autre ont évolué en se détériorant. L’on constate également des divergences internes au sein de ces deux principaux partis politiques qui n’augurent pas un </w:t>
      </w:r>
      <w:r w:rsidRPr="0004134A">
        <w:rPr>
          <w:rFonts w:ascii="Times New Roman" w:hAnsi="Times New Roman" w:cs="Times New Roman"/>
          <w:bCs/>
          <w:sz w:val="24"/>
          <w:szCs w:val="24"/>
          <w:lang w:val="fr-FR"/>
        </w:rPr>
        <w:lastRenderedPageBreak/>
        <w:t>climat électoral apaisé. La mise en place d’une nouvelle équipe de la CENI sans concertation préalable des forces politiques et forces vives de la Nation n’est pas non plus un facteur rassurant.</w:t>
      </w:r>
    </w:p>
    <w:p w14:paraId="100CC2B8" w14:textId="77777777" w:rsidR="0025539A" w:rsidRPr="0004134A" w:rsidRDefault="0025539A" w:rsidP="0025539A">
      <w:pPr>
        <w:pStyle w:val="ListParagraph"/>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 </w:t>
      </w:r>
    </w:p>
    <w:p w14:paraId="260FE25A" w14:textId="77777777" w:rsidR="0025539A" w:rsidRPr="0004134A" w:rsidRDefault="0025539A" w:rsidP="0025539A">
      <w:pPr>
        <w:pStyle w:val="ListParagraph"/>
        <w:numPr>
          <w:ilvl w:val="0"/>
          <w:numId w:val="46"/>
        </w:numPr>
        <w:spacing w:after="0"/>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La probabilité du risque de report des élections </w:t>
      </w:r>
      <w:r w:rsidRPr="0004134A">
        <w:rPr>
          <w:rFonts w:ascii="Times New Roman" w:hAnsi="Times New Roman" w:cs="Times New Roman"/>
          <w:bCs/>
          <w:i/>
          <w:iCs/>
          <w:sz w:val="24"/>
          <w:szCs w:val="24"/>
          <w:lang w:val="fr-FR"/>
        </w:rPr>
        <w:t xml:space="preserve">passe également de faible à </w:t>
      </w:r>
      <w:proofErr w:type="spellStart"/>
      <w:r w:rsidRPr="0004134A">
        <w:rPr>
          <w:rFonts w:ascii="Times New Roman" w:hAnsi="Times New Roman" w:cs="Times New Roman"/>
          <w:bCs/>
          <w:i/>
          <w:iCs/>
          <w:sz w:val="24"/>
          <w:szCs w:val="24"/>
          <w:lang w:val="fr-FR"/>
        </w:rPr>
        <w:t>élevée</w:t>
      </w:r>
      <w:proofErr w:type="spellEnd"/>
      <w:r w:rsidRPr="0004134A">
        <w:rPr>
          <w:rFonts w:ascii="Times New Roman" w:hAnsi="Times New Roman" w:cs="Times New Roman"/>
          <w:bCs/>
          <w:i/>
          <w:iCs/>
          <w:sz w:val="24"/>
          <w:szCs w:val="24"/>
          <w:lang w:val="fr-FR"/>
        </w:rPr>
        <w:t xml:space="preserve">. </w:t>
      </w:r>
      <w:r w:rsidRPr="0004134A">
        <w:rPr>
          <w:rFonts w:ascii="Times New Roman" w:hAnsi="Times New Roman" w:cs="Times New Roman"/>
          <w:bCs/>
          <w:sz w:val="24"/>
          <w:szCs w:val="24"/>
          <w:lang w:val="fr-FR"/>
        </w:rPr>
        <w:t>Pour cause,</w:t>
      </w:r>
      <w:r w:rsidRPr="0004134A">
        <w:rPr>
          <w:rFonts w:ascii="Times New Roman" w:hAnsi="Times New Roman" w:cs="Times New Roman"/>
          <w:bCs/>
          <w:i/>
          <w:iCs/>
          <w:sz w:val="24"/>
          <w:szCs w:val="24"/>
          <w:lang w:val="fr-FR"/>
        </w:rPr>
        <w:t xml:space="preserve"> l</w:t>
      </w:r>
      <w:r w:rsidRPr="0004134A">
        <w:rPr>
          <w:rFonts w:ascii="Times New Roman" w:hAnsi="Times New Roman" w:cs="Times New Roman"/>
          <w:bCs/>
          <w:sz w:val="24"/>
          <w:szCs w:val="24"/>
          <w:lang w:val="fr-FR"/>
        </w:rPr>
        <w:t xml:space="preserve">a mise en place d’une nouvelle équipe de la CENI a été effectuée avec retard et cela risque d’impacter sur la préparation des élections locales prévues en 2025. Il en est de même des textes devant les régir. En effet, l’organisation de tous les scrutins prévus (collinaires, communales, législatifs, sénatoriaux) dans un contexte de nouveau découpage territorial présente beaucoup de défis en termes de préparatifs techniques et logistique.   </w:t>
      </w:r>
    </w:p>
    <w:p w14:paraId="5F918F05" w14:textId="77777777" w:rsidR="004C2527" w:rsidRPr="0004134A" w:rsidRDefault="004C2527" w:rsidP="004C2527">
      <w:pPr>
        <w:spacing w:after="0"/>
        <w:jc w:val="both"/>
        <w:rPr>
          <w:rFonts w:ascii="Times New Roman" w:hAnsi="Times New Roman" w:cs="Times New Roman"/>
          <w:bCs/>
          <w:sz w:val="24"/>
          <w:szCs w:val="24"/>
          <w:lang w:val="fr-FR"/>
        </w:rPr>
      </w:pPr>
    </w:p>
    <w:p w14:paraId="65B9A6E8" w14:textId="01EB6DD5" w:rsidR="004C2527" w:rsidRPr="0004134A" w:rsidRDefault="004C2527" w:rsidP="004C2527">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Par contre, les risques d’ordre programmatique, en l’occurrence les risques de retards dans la mise en place d'une présence au bureau de la NIMD, dans le recrutement du personnel du bureau national ne se sont pas matérialisés. L’enregistrement et le recrutement ont été réalisé selon les procédures normales </w:t>
      </w:r>
      <w:r w:rsidR="00C13A3F" w:rsidRPr="0004134A">
        <w:rPr>
          <w:rFonts w:ascii="Times New Roman" w:hAnsi="Times New Roman" w:cs="Times New Roman"/>
          <w:bCs/>
          <w:sz w:val="24"/>
          <w:szCs w:val="24"/>
          <w:lang w:val="fr-FR"/>
        </w:rPr>
        <w:t>et dans</w:t>
      </w:r>
      <w:r w:rsidRPr="0004134A">
        <w:rPr>
          <w:rFonts w:ascii="Times New Roman" w:hAnsi="Times New Roman" w:cs="Times New Roman"/>
          <w:bCs/>
          <w:sz w:val="24"/>
          <w:szCs w:val="24"/>
          <w:lang w:val="fr-FR"/>
        </w:rPr>
        <w:t xml:space="preserve"> des délais raisonnables. La signature du contrat de financement en février 2023 a été suivie du recrutement du Directeur Pays au mois d’avril 2023, la location et équipement du bureau national à partir du mois de mai 2023 et le recrutement du Responsable Administratif et Financier et du Responsable Programme, respectivement aux mois d’Aout et de septembre 2023, ce qui a facilité la mise en place du bureau-pays. </w:t>
      </w:r>
    </w:p>
    <w:p w14:paraId="1E45048D" w14:textId="77777777" w:rsidR="004C2527" w:rsidRPr="0004134A" w:rsidRDefault="004C2527" w:rsidP="004C2527">
      <w:pPr>
        <w:spacing w:after="0"/>
        <w:ind w:left="708"/>
        <w:jc w:val="both"/>
        <w:rPr>
          <w:rFonts w:ascii="Times New Roman" w:hAnsi="Times New Roman" w:cs="Times New Roman"/>
          <w:bCs/>
          <w:sz w:val="24"/>
          <w:szCs w:val="24"/>
          <w:lang w:val="fr-FR"/>
        </w:rPr>
      </w:pPr>
    </w:p>
    <w:p w14:paraId="3C95A7B5" w14:textId="58CC48C6" w:rsidR="004C2527" w:rsidRPr="0004134A" w:rsidRDefault="004C2527" w:rsidP="004C2527">
      <w:pPr>
        <w:spacing w:after="0"/>
        <w:ind w:left="708"/>
        <w:jc w:val="both"/>
        <w:rPr>
          <w:rFonts w:ascii="Times New Roman" w:hAnsi="Times New Roman" w:cs="Times New Roman"/>
          <w:bCs/>
          <w:sz w:val="24"/>
          <w:szCs w:val="24"/>
          <w:lang w:val="fr-FR"/>
        </w:rPr>
        <w:sectPr w:rsidR="004C2527" w:rsidRPr="0004134A" w:rsidSect="00436B16">
          <w:pgSz w:w="12240" w:h="15840"/>
          <w:pgMar w:top="720" w:right="720" w:bottom="720" w:left="720" w:header="720" w:footer="720" w:gutter="0"/>
          <w:cols w:space="720"/>
          <w:docGrid w:linePitch="360"/>
        </w:sectPr>
      </w:pPr>
      <w:r w:rsidRPr="0004134A">
        <w:rPr>
          <w:rFonts w:ascii="Times New Roman" w:hAnsi="Times New Roman" w:cs="Times New Roman"/>
          <w:bCs/>
          <w:sz w:val="24"/>
          <w:szCs w:val="24"/>
          <w:lang w:val="fr-FR"/>
        </w:rPr>
        <w:t xml:space="preserve">La convention générale de coopération entre la République du Burundi et NIMD a, quant à elle, été signée que le 31/1/2024.  </w:t>
      </w:r>
    </w:p>
    <w:p w14:paraId="749E1BBA" w14:textId="6D0729E8" w:rsidR="00C90895" w:rsidRPr="0004134A" w:rsidRDefault="00C13A3F" w:rsidP="0097691A">
      <w:pPr>
        <w:pStyle w:val="ListParagraph"/>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lastRenderedPageBreak/>
        <w:t>Tableau de mise à jour des risques</w:t>
      </w:r>
    </w:p>
    <w:tbl>
      <w:tblPr>
        <w:tblStyle w:val="TableGrid"/>
        <w:tblW w:w="15310" w:type="dxa"/>
        <w:tblInd w:w="-431" w:type="dxa"/>
        <w:tblLook w:val="04A0" w:firstRow="1" w:lastRow="0" w:firstColumn="1" w:lastColumn="0" w:noHBand="0" w:noVBand="1"/>
      </w:tblPr>
      <w:tblGrid>
        <w:gridCol w:w="1594"/>
        <w:gridCol w:w="1809"/>
        <w:gridCol w:w="3003"/>
        <w:gridCol w:w="2545"/>
        <w:gridCol w:w="2968"/>
        <w:gridCol w:w="3391"/>
      </w:tblGrid>
      <w:tr w:rsidR="00E17887" w:rsidRPr="0004134A" w14:paraId="268ED112" w14:textId="4DAA5111" w:rsidTr="00FE5808">
        <w:trPr>
          <w:trHeight w:val="572"/>
        </w:trPr>
        <w:tc>
          <w:tcPr>
            <w:tcW w:w="1594" w:type="dxa"/>
            <w:shd w:val="clear" w:color="auto" w:fill="FFE599" w:themeFill="accent4" w:themeFillTint="66"/>
          </w:tcPr>
          <w:p w14:paraId="1787C507" w14:textId="73E08645" w:rsidR="004C6DAE" w:rsidRPr="0004134A" w:rsidRDefault="004C6DAE" w:rsidP="00A959FF">
            <w:pPr>
              <w:pStyle w:val="ListParagraph"/>
              <w:spacing w:after="0"/>
              <w:ind w:left="0"/>
              <w:rPr>
                <w:rFonts w:ascii="Times New Roman" w:hAnsi="Times New Roman" w:cs="Times New Roman"/>
                <w:b/>
                <w:bCs/>
                <w:sz w:val="20"/>
                <w:szCs w:val="20"/>
                <w:lang w:val="fr-FR"/>
              </w:rPr>
            </w:pPr>
            <w:r w:rsidRPr="0004134A">
              <w:rPr>
                <w:rFonts w:ascii="Times New Roman" w:hAnsi="Times New Roman" w:cs="Times New Roman"/>
                <w:b/>
                <w:bCs/>
                <w:sz w:val="20"/>
                <w:szCs w:val="20"/>
              </w:rPr>
              <w:t xml:space="preserve">Type de </w:t>
            </w:r>
            <w:proofErr w:type="spellStart"/>
            <w:r w:rsidRPr="0004134A">
              <w:rPr>
                <w:rFonts w:ascii="Times New Roman" w:hAnsi="Times New Roman" w:cs="Times New Roman"/>
                <w:b/>
                <w:bCs/>
                <w:sz w:val="20"/>
                <w:szCs w:val="20"/>
              </w:rPr>
              <w:t>risque</w:t>
            </w:r>
            <w:proofErr w:type="spellEnd"/>
          </w:p>
        </w:tc>
        <w:tc>
          <w:tcPr>
            <w:tcW w:w="1809" w:type="dxa"/>
            <w:shd w:val="clear" w:color="auto" w:fill="FFE599" w:themeFill="accent4" w:themeFillTint="66"/>
          </w:tcPr>
          <w:p w14:paraId="4E9E65D9" w14:textId="4C99A25F" w:rsidR="004C6DAE" w:rsidRPr="0004134A" w:rsidRDefault="004C6DAE" w:rsidP="00C90895">
            <w:pPr>
              <w:pStyle w:val="ListParagraph"/>
              <w:spacing w:after="0"/>
              <w:ind w:left="0"/>
              <w:jc w:val="both"/>
              <w:rPr>
                <w:rFonts w:ascii="Times New Roman" w:hAnsi="Times New Roman" w:cs="Times New Roman"/>
                <w:b/>
                <w:bCs/>
                <w:sz w:val="20"/>
                <w:szCs w:val="20"/>
                <w:lang w:val="fr-FR"/>
              </w:rPr>
            </w:pPr>
            <w:r w:rsidRPr="0004134A">
              <w:rPr>
                <w:rFonts w:ascii="Times New Roman" w:hAnsi="Times New Roman" w:cs="Times New Roman"/>
                <w:b/>
                <w:bCs/>
                <w:sz w:val="20"/>
                <w:szCs w:val="20"/>
              </w:rPr>
              <w:t xml:space="preserve">Description du </w:t>
            </w:r>
            <w:proofErr w:type="spellStart"/>
            <w:r w:rsidRPr="0004134A">
              <w:rPr>
                <w:rFonts w:ascii="Times New Roman" w:hAnsi="Times New Roman" w:cs="Times New Roman"/>
                <w:b/>
                <w:bCs/>
                <w:sz w:val="20"/>
                <w:szCs w:val="20"/>
              </w:rPr>
              <w:t>risque</w:t>
            </w:r>
            <w:proofErr w:type="spellEnd"/>
          </w:p>
        </w:tc>
        <w:tc>
          <w:tcPr>
            <w:tcW w:w="3003" w:type="dxa"/>
            <w:shd w:val="clear" w:color="auto" w:fill="FFE599" w:themeFill="accent4" w:themeFillTint="66"/>
          </w:tcPr>
          <w:p w14:paraId="2DB61A89" w14:textId="7164ADED" w:rsidR="004C6DAE" w:rsidRPr="0004134A" w:rsidRDefault="004C6DAE" w:rsidP="00C90895">
            <w:pPr>
              <w:pStyle w:val="ListParagraph"/>
              <w:spacing w:after="0"/>
              <w:ind w:left="0"/>
              <w:jc w:val="both"/>
              <w:rPr>
                <w:rFonts w:ascii="Times New Roman" w:hAnsi="Times New Roman" w:cs="Times New Roman"/>
                <w:b/>
                <w:bCs/>
                <w:sz w:val="20"/>
                <w:szCs w:val="20"/>
                <w:lang w:val="fr-FR"/>
              </w:rPr>
            </w:pPr>
            <w:r w:rsidRPr="0004134A">
              <w:rPr>
                <w:rFonts w:ascii="Times New Roman" w:hAnsi="Times New Roman" w:cs="Times New Roman"/>
                <w:b/>
                <w:bCs/>
                <w:sz w:val="20"/>
                <w:szCs w:val="20"/>
                <w:lang w:val="fr-FR"/>
              </w:rPr>
              <w:t>Impact identifié au moment de l’élaboration du projet</w:t>
            </w:r>
          </w:p>
        </w:tc>
        <w:tc>
          <w:tcPr>
            <w:tcW w:w="2545" w:type="dxa"/>
            <w:shd w:val="clear" w:color="auto" w:fill="FFE599" w:themeFill="accent4" w:themeFillTint="66"/>
          </w:tcPr>
          <w:p w14:paraId="5A93BC75" w14:textId="6441CD95" w:rsidR="004C6DAE" w:rsidRPr="0004134A" w:rsidRDefault="004C6DAE" w:rsidP="00C90895">
            <w:pPr>
              <w:pStyle w:val="ListParagraph"/>
              <w:spacing w:after="0"/>
              <w:ind w:left="0"/>
              <w:jc w:val="both"/>
              <w:rPr>
                <w:rFonts w:ascii="Times New Roman" w:hAnsi="Times New Roman" w:cs="Times New Roman"/>
                <w:b/>
                <w:bCs/>
                <w:sz w:val="20"/>
                <w:szCs w:val="20"/>
                <w:lang w:val="fr-FR"/>
              </w:rPr>
            </w:pPr>
            <w:r w:rsidRPr="0004134A">
              <w:rPr>
                <w:rFonts w:ascii="Times New Roman" w:hAnsi="Times New Roman" w:cs="Times New Roman"/>
                <w:b/>
                <w:bCs/>
                <w:sz w:val="20"/>
                <w:szCs w:val="20"/>
                <w:lang w:val="fr-FR"/>
              </w:rPr>
              <w:t>Probabilité au moment de l’élaboration du projet</w:t>
            </w:r>
          </w:p>
        </w:tc>
        <w:tc>
          <w:tcPr>
            <w:tcW w:w="2968" w:type="dxa"/>
            <w:shd w:val="clear" w:color="auto" w:fill="FFE599" w:themeFill="accent4" w:themeFillTint="66"/>
          </w:tcPr>
          <w:p w14:paraId="3E24D868" w14:textId="5C739E7B" w:rsidR="004C6DAE" w:rsidRPr="0004134A" w:rsidRDefault="004C6DAE" w:rsidP="00C90895">
            <w:pPr>
              <w:pStyle w:val="ListParagraph"/>
              <w:spacing w:after="0"/>
              <w:ind w:left="0"/>
              <w:jc w:val="both"/>
              <w:rPr>
                <w:rFonts w:ascii="Times New Roman" w:hAnsi="Times New Roman" w:cs="Times New Roman"/>
                <w:b/>
                <w:bCs/>
                <w:sz w:val="20"/>
                <w:szCs w:val="20"/>
                <w:lang w:val="fr-FR"/>
              </w:rPr>
            </w:pPr>
            <w:r w:rsidRPr="0004134A">
              <w:rPr>
                <w:rFonts w:ascii="Times New Roman" w:hAnsi="Times New Roman" w:cs="Times New Roman"/>
                <w:b/>
                <w:bCs/>
                <w:sz w:val="20"/>
                <w:szCs w:val="20"/>
                <w:lang w:val="fr-FR"/>
              </w:rPr>
              <w:t>Analyse actuelle du risque</w:t>
            </w:r>
          </w:p>
        </w:tc>
        <w:tc>
          <w:tcPr>
            <w:tcW w:w="3391" w:type="dxa"/>
            <w:shd w:val="clear" w:color="auto" w:fill="FFE599" w:themeFill="accent4" w:themeFillTint="66"/>
          </w:tcPr>
          <w:p w14:paraId="19F4D7F7" w14:textId="52B376FB" w:rsidR="004C6DAE" w:rsidRPr="0004134A" w:rsidRDefault="004C6DAE" w:rsidP="00C90895">
            <w:pPr>
              <w:pStyle w:val="ListParagraph"/>
              <w:spacing w:after="0"/>
              <w:ind w:left="0"/>
              <w:jc w:val="both"/>
              <w:rPr>
                <w:rFonts w:ascii="Times New Roman" w:hAnsi="Times New Roman" w:cs="Times New Roman"/>
                <w:b/>
                <w:bCs/>
                <w:sz w:val="20"/>
                <w:szCs w:val="20"/>
                <w:lang w:val="fr-FR"/>
              </w:rPr>
            </w:pPr>
            <w:r w:rsidRPr="0004134A">
              <w:rPr>
                <w:rFonts w:ascii="Times New Roman" w:hAnsi="Times New Roman" w:cs="Times New Roman"/>
                <w:b/>
                <w:bCs/>
                <w:sz w:val="20"/>
                <w:szCs w:val="20"/>
                <w:lang w:val="fr-FR"/>
              </w:rPr>
              <w:t>Mesure de mitigation (actualisée)</w:t>
            </w:r>
          </w:p>
        </w:tc>
      </w:tr>
      <w:tr w:rsidR="00E17887" w:rsidRPr="00911768" w14:paraId="2E967C5E" w14:textId="610DE097" w:rsidTr="00FE5808">
        <w:trPr>
          <w:trHeight w:val="762"/>
        </w:trPr>
        <w:tc>
          <w:tcPr>
            <w:tcW w:w="1594" w:type="dxa"/>
            <w:vMerge w:val="restart"/>
          </w:tcPr>
          <w:p w14:paraId="4FF7575C" w14:textId="637F5EF7" w:rsidR="00552960" w:rsidRPr="0004134A" w:rsidRDefault="00552960" w:rsidP="00A959FF">
            <w:pPr>
              <w:pStyle w:val="ListParagraph"/>
              <w:spacing w:after="0"/>
              <w:ind w:left="0"/>
              <w:rPr>
                <w:rFonts w:ascii="Times New Roman" w:hAnsi="Times New Roman" w:cs="Times New Roman"/>
                <w:bCs/>
                <w:sz w:val="20"/>
                <w:szCs w:val="20"/>
                <w:lang w:val="fr-FR"/>
              </w:rPr>
            </w:pPr>
            <w:r w:rsidRPr="0004134A">
              <w:rPr>
                <w:rFonts w:ascii="Times New Roman" w:hAnsi="Times New Roman" w:cs="Times New Roman"/>
                <w:bCs/>
                <w:sz w:val="20"/>
                <w:szCs w:val="20"/>
                <w:lang w:val="fr-FR"/>
              </w:rPr>
              <w:t>Contextuel</w:t>
            </w:r>
          </w:p>
        </w:tc>
        <w:tc>
          <w:tcPr>
            <w:tcW w:w="1809" w:type="dxa"/>
          </w:tcPr>
          <w:p w14:paraId="5EDF4A9F" w14:textId="096292D5" w:rsidR="00552960" w:rsidRPr="0004134A" w:rsidRDefault="00552960" w:rsidP="00552960">
            <w:pPr>
              <w:rPr>
                <w:rFonts w:ascii="Times New Roman" w:hAnsi="Times New Roman" w:cs="Times New Roman"/>
                <w:sz w:val="20"/>
                <w:szCs w:val="20"/>
                <w:lang w:val="fr-FR"/>
              </w:rPr>
            </w:pPr>
            <w:r w:rsidRPr="0004134A">
              <w:rPr>
                <w:rFonts w:ascii="Times New Roman" w:hAnsi="Times New Roman" w:cs="Times New Roman"/>
                <w:sz w:val="20"/>
                <w:szCs w:val="20"/>
                <w:lang w:val="fr-FR"/>
              </w:rPr>
              <w:t>Perte du soutien politique du gouvernement burundais</w:t>
            </w:r>
          </w:p>
        </w:tc>
        <w:tc>
          <w:tcPr>
            <w:tcW w:w="3003" w:type="dxa"/>
          </w:tcPr>
          <w:p w14:paraId="396BB798"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Moyenne à élevée</w:t>
            </w:r>
          </w:p>
          <w:p w14:paraId="373EACAC" w14:textId="2B6C56AB" w:rsidR="00552960" w:rsidRPr="0004134A" w:rsidRDefault="00552960" w:rsidP="00552960">
            <w:pPr>
              <w:rPr>
                <w:rFonts w:ascii="Times New Roman" w:hAnsi="Times New Roman" w:cs="Times New Roman"/>
                <w:bCs/>
                <w:sz w:val="20"/>
                <w:szCs w:val="20"/>
                <w:lang w:val="fr-FR"/>
              </w:rPr>
            </w:pPr>
            <w:r w:rsidRPr="0004134A">
              <w:rPr>
                <w:rFonts w:ascii="Times New Roman" w:hAnsi="Times New Roman" w:cs="Times New Roman"/>
                <w:sz w:val="20"/>
                <w:szCs w:val="20"/>
                <w:lang w:val="fr-FR"/>
              </w:rPr>
              <w:t>La nature politiquement sensible du projet pourrait avoir comme impact (a) le refus de l'autorisation de créer un bureau pays et/ou (b) l'arrêt temporaire, voire la fermeture du projet, lorsque celle-ci a déjà commencé.</w:t>
            </w:r>
          </w:p>
        </w:tc>
        <w:tc>
          <w:tcPr>
            <w:tcW w:w="2545" w:type="dxa"/>
          </w:tcPr>
          <w:p w14:paraId="5C7F33F8"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 à moyen</w:t>
            </w:r>
          </w:p>
          <w:p w14:paraId="6EC471BF" w14:textId="5B6AE2D9" w:rsidR="00552960" w:rsidRPr="0004134A" w:rsidRDefault="00552960" w:rsidP="00630A9A">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Il existe de bonnes relations entre </w:t>
            </w:r>
            <w:r w:rsidR="00630A9A" w:rsidRPr="0004134A">
              <w:rPr>
                <w:rFonts w:ascii="Times New Roman" w:hAnsi="Times New Roman" w:cs="Times New Roman"/>
                <w:sz w:val="20"/>
                <w:szCs w:val="20"/>
                <w:lang w:val="fr-FR"/>
              </w:rPr>
              <w:t xml:space="preserve">le BLTP, </w:t>
            </w:r>
            <w:r w:rsidRPr="0004134A">
              <w:rPr>
                <w:rFonts w:ascii="Times New Roman" w:hAnsi="Times New Roman" w:cs="Times New Roman"/>
                <w:sz w:val="20"/>
                <w:szCs w:val="20"/>
                <w:lang w:val="fr-FR"/>
              </w:rPr>
              <w:t>partenaire local</w:t>
            </w:r>
            <w:r w:rsidR="00630A9A" w:rsidRPr="0004134A">
              <w:rPr>
                <w:rFonts w:ascii="Times New Roman" w:hAnsi="Times New Roman" w:cs="Times New Roman"/>
                <w:sz w:val="20"/>
                <w:szCs w:val="20"/>
                <w:lang w:val="fr-FR"/>
              </w:rPr>
              <w:t xml:space="preserve"> (anciennement exclusif)</w:t>
            </w:r>
            <w:r w:rsidRPr="0004134A">
              <w:rPr>
                <w:rFonts w:ascii="Times New Roman" w:hAnsi="Times New Roman" w:cs="Times New Roman"/>
                <w:sz w:val="20"/>
                <w:szCs w:val="20"/>
                <w:lang w:val="fr-FR"/>
              </w:rPr>
              <w:t xml:space="preserve"> de mise </w:t>
            </w:r>
            <w:r w:rsidR="00630A9A" w:rsidRPr="0004134A">
              <w:rPr>
                <w:rFonts w:ascii="Times New Roman" w:hAnsi="Times New Roman" w:cs="Times New Roman"/>
                <w:sz w:val="20"/>
                <w:szCs w:val="20"/>
                <w:lang w:val="fr-FR"/>
              </w:rPr>
              <w:t>en œuvre des activités du NIMD,</w:t>
            </w:r>
            <w:r w:rsidRPr="0004134A">
              <w:rPr>
                <w:rFonts w:ascii="Times New Roman" w:hAnsi="Times New Roman" w:cs="Times New Roman"/>
                <w:sz w:val="20"/>
                <w:szCs w:val="20"/>
                <w:lang w:val="fr-FR"/>
              </w:rPr>
              <w:t xml:space="preserve"> </w:t>
            </w:r>
            <w:r w:rsidR="00630A9A" w:rsidRPr="0004134A">
              <w:rPr>
                <w:rFonts w:ascii="Times New Roman" w:hAnsi="Times New Roman" w:cs="Times New Roman"/>
                <w:sz w:val="20"/>
                <w:szCs w:val="20"/>
                <w:lang w:val="fr-FR"/>
              </w:rPr>
              <w:t xml:space="preserve">et le ministère de l’intérieur </w:t>
            </w:r>
            <w:r w:rsidRPr="0004134A">
              <w:rPr>
                <w:rFonts w:ascii="Times New Roman" w:hAnsi="Times New Roman" w:cs="Times New Roman"/>
                <w:sz w:val="20"/>
                <w:szCs w:val="20"/>
                <w:lang w:val="fr-FR"/>
              </w:rPr>
              <w:t>à travers le comité technique conjoint Min</w:t>
            </w:r>
            <w:r w:rsidR="00630A9A" w:rsidRPr="0004134A">
              <w:rPr>
                <w:rFonts w:ascii="Times New Roman" w:hAnsi="Times New Roman" w:cs="Times New Roman"/>
                <w:sz w:val="20"/>
                <w:szCs w:val="20"/>
                <w:lang w:val="fr-FR"/>
              </w:rPr>
              <w:t>istère</w:t>
            </w:r>
            <w:r w:rsidRPr="0004134A">
              <w:rPr>
                <w:rFonts w:ascii="Times New Roman" w:hAnsi="Times New Roman" w:cs="Times New Roman"/>
                <w:sz w:val="20"/>
                <w:szCs w:val="20"/>
                <w:lang w:val="fr-FR"/>
              </w:rPr>
              <w:t>/BLTP où sont discutées les décisions relatives aux activités du projet</w:t>
            </w:r>
            <w:r w:rsidR="00630A9A" w:rsidRPr="0004134A">
              <w:rPr>
                <w:rFonts w:ascii="Times New Roman" w:hAnsi="Times New Roman" w:cs="Times New Roman"/>
                <w:sz w:val="20"/>
                <w:szCs w:val="20"/>
                <w:lang w:val="fr-FR"/>
              </w:rPr>
              <w:t>.</w:t>
            </w:r>
          </w:p>
        </w:tc>
        <w:tc>
          <w:tcPr>
            <w:tcW w:w="2968" w:type="dxa"/>
          </w:tcPr>
          <w:p w14:paraId="7DBE7C96" w14:textId="77777777" w:rsidR="00770E41" w:rsidRPr="0004134A" w:rsidRDefault="00950A58"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 xml:space="preserve">La probabilité de ce risque reste faible. </w:t>
            </w:r>
          </w:p>
          <w:p w14:paraId="1B986889" w14:textId="77777777" w:rsidR="00770E41" w:rsidRPr="0004134A" w:rsidRDefault="00770E41" w:rsidP="00552960">
            <w:pPr>
              <w:pStyle w:val="ListParagraph"/>
              <w:spacing w:after="0"/>
              <w:ind w:left="0"/>
              <w:jc w:val="both"/>
              <w:rPr>
                <w:rFonts w:ascii="Times New Roman" w:hAnsi="Times New Roman" w:cs="Times New Roman"/>
                <w:bCs/>
                <w:sz w:val="20"/>
                <w:szCs w:val="20"/>
                <w:lang w:val="fr-FR"/>
              </w:rPr>
            </w:pPr>
          </w:p>
          <w:p w14:paraId="3B9EBB74" w14:textId="0FBE88F2" w:rsidR="00552960" w:rsidRPr="0004134A" w:rsidRDefault="00630A9A"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La nouvelle approche de partenariat avec les organisations locale qui est basée sur les contrats de prestation de services et qui </w:t>
            </w:r>
            <w:r w:rsidR="00A85758" w:rsidRPr="0004134A">
              <w:rPr>
                <w:rFonts w:ascii="Times New Roman" w:hAnsi="Times New Roman" w:cs="Times New Roman"/>
                <w:bCs/>
                <w:sz w:val="20"/>
                <w:szCs w:val="20"/>
                <w:lang w:val="fr-FR"/>
              </w:rPr>
              <w:t>enlève l’exclusivité de mise en œuvre des activités du NIMD a créé des incompréhensions et des frustrations du BLTP qui s’en est plaint auprès du ministère. Cela a occasionné des retards dans l’octroi des autorisations à certains prestataires de mise en œuvre.</w:t>
            </w:r>
          </w:p>
          <w:p w14:paraId="59E1070E" w14:textId="77777777" w:rsidR="0042225D" w:rsidRPr="0004134A" w:rsidRDefault="0042225D"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Actuellement la question a été résolue et </w:t>
            </w:r>
            <w:r w:rsidR="00302795" w:rsidRPr="0004134A">
              <w:rPr>
                <w:rFonts w:ascii="Times New Roman" w:hAnsi="Times New Roman" w:cs="Times New Roman"/>
                <w:bCs/>
                <w:sz w:val="20"/>
                <w:szCs w:val="20"/>
                <w:lang w:val="fr-FR"/>
              </w:rPr>
              <w:t>la convention générale de coopération entre le Gouvernement de la République du Burundi et NIMD a été signée le 31/1/2024.</w:t>
            </w:r>
          </w:p>
          <w:p w14:paraId="7A73266F" w14:textId="6EE6DD59" w:rsidR="00A37325" w:rsidRPr="0004134A" w:rsidRDefault="00A37325"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Il reste la signature du protocole d’exécution du programme NIMD au Burundi</w:t>
            </w:r>
          </w:p>
        </w:tc>
        <w:tc>
          <w:tcPr>
            <w:tcW w:w="3391" w:type="dxa"/>
          </w:tcPr>
          <w:p w14:paraId="0AFFACE0" w14:textId="287B6515" w:rsidR="00A959FF" w:rsidRPr="0004134A" w:rsidRDefault="00A959FF"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Garder de bonnes relations et une bonne communication avec les autorités du ministère ayant l’intérieur dans ses attributions</w:t>
            </w:r>
            <w:r w:rsidR="00A37325" w:rsidRPr="0004134A">
              <w:rPr>
                <w:rFonts w:ascii="Times New Roman" w:hAnsi="Times New Roman" w:cs="Times New Roman"/>
                <w:bCs/>
                <w:sz w:val="20"/>
                <w:szCs w:val="20"/>
                <w:lang w:val="fr-FR"/>
              </w:rPr>
              <w:t>.</w:t>
            </w:r>
          </w:p>
          <w:p w14:paraId="20E19A97" w14:textId="0F55ADA0" w:rsidR="00A37325" w:rsidRPr="0004134A" w:rsidRDefault="00A37325"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Continuer à négocier un partenariat écrit avec le ministère technique.</w:t>
            </w:r>
          </w:p>
          <w:p w14:paraId="0EECB009" w14:textId="12FCDBC6" w:rsidR="00A959FF" w:rsidRPr="0004134A" w:rsidRDefault="00A959FF"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Respecter les clauses contenues dans la convention générale de co</w:t>
            </w:r>
            <w:r w:rsidR="00A37325" w:rsidRPr="0004134A">
              <w:rPr>
                <w:rFonts w:ascii="Times New Roman" w:hAnsi="Times New Roman" w:cs="Times New Roman"/>
                <w:bCs/>
                <w:sz w:val="20"/>
                <w:szCs w:val="20"/>
                <w:lang w:val="fr-FR"/>
              </w:rPr>
              <w:t>opération entre le Gouvernement du Burundi et NIMD.</w:t>
            </w:r>
          </w:p>
          <w:p w14:paraId="71F56339" w14:textId="0612EB93" w:rsidR="00A37325" w:rsidRPr="0004134A" w:rsidRDefault="00A37325"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Respecter le protocole d’exécution technique du programme NIMD au Burundi.</w:t>
            </w:r>
          </w:p>
          <w:p w14:paraId="632BB763" w14:textId="77777777" w:rsidR="00A37325" w:rsidRPr="0004134A" w:rsidRDefault="00A37325" w:rsidP="00A37325">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Assurer un suivi-accompagnement rapproché des partenaires locaux dans l’esprit de renforcer leurs capacités techniques</w:t>
            </w:r>
          </w:p>
          <w:p w14:paraId="6C6DF418" w14:textId="0001705A" w:rsidR="00552960" w:rsidRPr="0004134A" w:rsidRDefault="00552960" w:rsidP="00A37325">
            <w:pPr>
              <w:pStyle w:val="ListParagraph"/>
              <w:spacing w:after="0"/>
              <w:ind w:left="0"/>
              <w:jc w:val="both"/>
              <w:rPr>
                <w:rFonts w:ascii="Times New Roman" w:hAnsi="Times New Roman" w:cs="Times New Roman"/>
                <w:bCs/>
                <w:sz w:val="20"/>
                <w:szCs w:val="20"/>
                <w:lang w:val="fr-FR"/>
              </w:rPr>
            </w:pPr>
          </w:p>
        </w:tc>
      </w:tr>
      <w:tr w:rsidR="00E17887" w:rsidRPr="0004134A" w14:paraId="7E106E6D" w14:textId="513A247E" w:rsidTr="00FE5808">
        <w:trPr>
          <w:trHeight w:val="774"/>
        </w:trPr>
        <w:tc>
          <w:tcPr>
            <w:tcW w:w="1594" w:type="dxa"/>
            <w:vMerge/>
          </w:tcPr>
          <w:p w14:paraId="0099A9FE"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221B26E1" w14:textId="25A7990C" w:rsidR="00552960" w:rsidRPr="0004134A" w:rsidRDefault="00552960" w:rsidP="00552960">
            <w:pPr>
              <w:rPr>
                <w:rFonts w:ascii="Times New Roman" w:hAnsi="Times New Roman" w:cs="Times New Roman"/>
                <w:sz w:val="20"/>
                <w:szCs w:val="20"/>
                <w:lang w:val="fr-FR"/>
              </w:rPr>
            </w:pPr>
            <w:r w:rsidRPr="0004134A">
              <w:rPr>
                <w:rFonts w:ascii="Times New Roman" w:hAnsi="Times New Roman" w:cs="Times New Roman"/>
                <w:sz w:val="20"/>
                <w:szCs w:val="20"/>
                <w:lang w:val="fr-FR"/>
              </w:rPr>
              <w:t>Perception de partialité de la part de certains partis politiques</w:t>
            </w:r>
          </w:p>
        </w:tc>
        <w:tc>
          <w:tcPr>
            <w:tcW w:w="3003" w:type="dxa"/>
          </w:tcPr>
          <w:p w14:paraId="030B1B1E"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Haut</w:t>
            </w:r>
          </w:p>
          <w:p w14:paraId="06AF42A9" w14:textId="036885C5" w:rsidR="00552960" w:rsidRPr="0004134A" w:rsidRDefault="00DE24AA"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Désengagement et non adhésion au projet par certains partis politiques qui pourraient se sentir exclus pour raison de partialité de la part du BLTP et du NIMD</w:t>
            </w:r>
          </w:p>
        </w:tc>
        <w:tc>
          <w:tcPr>
            <w:tcW w:w="2545" w:type="dxa"/>
          </w:tcPr>
          <w:p w14:paraId="5CA48916"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w:t>
            </w:r>
          </w:p>
          <w:p w14:paraId="72BD0EAC" w14:textId="4A54C3F4"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La NIMD et le BLTP ont toujours fonctionné sur la base de l'impartialité et de l'inclusivité</w:t>
            </w:r>
            <w:r w:rsidR="00DE24AA" w:rsidRPr="0004134A">
              <w:rPr>
                <w:rFonts w:ascii="Times New Roman" w:hAnsi="Times New Roman" w:cs="Times New Roman"/>
                <w:sz w:val="20"/>
                <w:szCs w:val="20"/>
                <w:lang w:val="fr-FR"/>
              </w:rPr>
              <w:t xml:space="preserve">, ce qui </w:t>
            </w:r>
            <w:r w:rsidR="0056111D" w:rsidRPr="0004134A">
              <w:rPr>
                <w:rFonts w:ascii="Times New Roman" w:hAnsi="Times New Roman" w:cs="Times New Roman"/>
                <w:sz w:val="20"/>
                <w:szCs w:val="20"/>
                <w:lang w:val="fr-FR"/>
              </w:rPr>
              <w:t>a renforcé</w:t>
            </w:r>
            <w:r w:rsidRPr="0004134A">
              <w:rPr>
                <w:rFonts w:ascii="Times New Roman" w:hAnsi="Times New Roman" w:cs="Times New Roman"/>
                <w:sz w:val="20"/>
                <w:szCs w:val="20"/>
                <w:lang w:val="fr-FR"/>
              </w:rPr>
              <w:t xml:space="preserve"> la confiance </w:t>
            </w:r>
            <w:r w:rsidR="00DE24AA" w:rsidRPr="0004134A">
              <w:rPr>
                <w:rFonts w:ascii="Times New Roman" w:hAnsi="Times New Roman" w:cs="Times New Roman"/>
                <w:sz w:val="20"/>
                <w:szCs w:val="20"/>
                <w:lang w:val="fr-FR"/>
              </w:rPr>
              <w:t xml:space="preserve">et </w:t>
            </w:r>
            <w:r w:rsidRPr="0004134A">
              <w:rPr>
                <w:rFonts w:ascii="Times New Roman" w:hAnsi="Times New Roman" w:cs="Times New Roman"/>
                <w:sz w:val="20"/>
                <w:szCs w:val="20"/>
                <w:lang w:val="fr-FR"/>
              </w:rPr>
              <w:t>rédui</w:t>
            </w:r>
            <w:r w:rsidR="00DE24AA" w:rsidRPr="0004134A">
              <w:rPr>
                <w:rFonts w:ascii="Times New Roman" w:hAnsi="Times New Roman" w:cs="Times New Roman"/>
                <w:sz w:val="20"/>
                <w:szCs w:val="20"/>
                <w:lang w:val="fr-FR"/>
              </w:rPr>
              <w:t>t</w:t>
            </w:r>
            <w:r w:rsidRPr="0004134A">
              <w:rPr>
                <w:rFonts w:ascii="Times New Roman" w:hAnsi="Times New Roman" w:cs="Times New Roman"/>
                <w:sz w:val="20"/>
                <w:szCs w:val="20"/>
                <w:lang w:val="fr-FR"/>
              </w:rPr>
              <w:t xml:space="preserve"> la probabilité de perception de partialité.</w:t>
            </w:r>
          </w:p>
        </w:tc>
        <w:tc>
          <w:tcPr>
            <w:tcW w:w="2968" w:type="dxa"/>
          </w:tcPr>
          <w:p w14:paraId="2C0EBD0D" w14:textId="77777777" w:rsidR="00770E41" w:rsidRPr="0004134A" w:rsidRDefault="00950A58"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 xml:space="preserve">La probabilité de ce risque reste faible. </w:t>
            </w:r>
          </w:p>
          <w:p w14:paraId="1D420E5C" w14:textId="77777777" w:rsidR="00770E41" w:rsidRPr="0004134A" w:rsidRDefault="00770E41" w:rsidP="00552960">
            <w:pPr>
              <w:pStyle w:val="ListParagraph"/>
              <w:spacing w:after="0"/>
              <w:ind w:left="0"/>
              <w:jc w:val="both"/>
              <w:rPr>
                <w:rFonts w:ascii="Times New Roman" w:hAnsi="Times New Roman" w:cs="Times New Roman"/>
                <w:bCs/>
                <w:sz w:val="20"/>
                <w:szCs w:val="20"/>
                <w:lang w:val="fr-FR"/>
              </w:rPr>
            </w:pPr>
          </w:p>
          <w:p w14:paraId="0C9CFFDD" w14:textId="4C77714A" w:rsidR="00552960" w:rsidRPr="0004134A" w:rsidRDefault="00950F18"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Les premières activités réalisées par les prestataires et impliquant les partis politiques ont vu la participation de tous les partis politiques invités et les relations entre le bureau-pays et ces derniers sont bonnes.  </w:t>
            </w:r>
          </w:p>
        </w:tc>
        <w:tc>
          <w:tcPr>
            <w:tcW w:w="3391" w:type="dxa"/>
          </w:tcPr>
          <w:p w14:paraId="3E96E5A4" w14:textId="4B7E4EB8" w:rsidR="009E5116" w:rsidRPr="0004134A" w:rsidRDefault="009E5116"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NIMD met en avant l’impartialité et l’esprit non-partisan dans le choix de ses partenaires, des personnes ressources et de son personnel. Il privilégie l’inclusivité lors des activités telles que les ateliers. Les prestataires sont sensibilisés là-dessus. </w:t>
            </w:r>
          </w:p>
        </w:tc>
      </w:tr>
      <w:tr w:rsidR="00E17887" w:rsidRPr="00911768" w14:paraId="65A523B6" w14:textId="3DF4A5B0" w:rsidTr="00FE5808">
        <w:trPr>
          <w:trHeight w:val="1065"/>
        </w:trPr>
        <w:tc>
          <w:tcPr>
            <w:tcW w:w="1594" w:type="dxa"/>
            <w:vMerge/>
          </w:tcPr>
          <w:p w14:paraId="66D6C76B"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58AD5280" w14:textId="29A72685" w:rsidR="00552960" w:rsidRPr="0004134A" w:rsidRDefault="00552960" w:rsidP="00552960">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Diminution de l'intérêt des partis politiques et d'autres bénéficiaires pour le soutien </w:t>
            </w:r>
          </w:p>
        </w:tc>
        <w:tc>
          <w:tcPr>
            <w:tcW w:w="3003" w:type="dxa"/>
          </w:tcPr>
          <w:p w14:paraId="5EC6F170"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Haut</w:t>
            </w:r>
          </w:p>
          <w:p w14:paraId="0C42D14B" w14:textId="77E8337B"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 xml:space="preserve">Un projet axé sur la demande comme celui-ci dépend de l'intérêt continu des principaux bénéficiaires à recevoir une aide. Par conséquent, toute perte d'intérêt des principaux bénéficiaires pour un tel soutien est importante car elle va à l'encontre de la raison d'être du projet. </w:t>
            </w:r>
          </w:p>
        </w:tc>
        <w:tc>
          <w:tcPr>
            <w:tcW w:w="2545" w:type="dxa"/>
          </w:tcPr>
          <w:p w14:paraId="220BFF7B"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w:t>
            </w:r>
          </w:p>
          <w:p w14:paraId="545055B1" w14:textId="61F5570D"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 xml:space="preserve">Les dernières mises à jour indiquent que les groupes bénéficiaires, en particulier les partis politiques et les jeunes engagés dans la politique, continuent de solliciter le type de soutien que la NIMD envisage de fournir dans le cadre de ce projet. Cela souligne la pertinence continue du projet, réduisant ainsi la probabilité d'une diminution de l'intérêt. </w:t>
            </w:r>
          </w:p>
        </w:tc>
        <w:tc>
          <w:tcPr>
            <w:tcW w:w="2968" w:type="dxa"/>
          </w:tcPr>
          <w:p w14:paraId="6F0D43C5" w14:textId="77777777" w:rsidR="00770E41" w:rsidRPr="0004134A" w:rsidRDefault="00302795"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 xml:space="preserve">La probabilité du risque reste faible. </w:t>
            </w:r>
          </w:p>
          <w:p w14:paraId="40163BF1" w14:textId="77777777" w:rsidR="00770E41" w:rsidRPr="0004134A" w:rsidRDefault="00770E41" w:rsidP="00552960">
            <w:pPr>
              <w:pStyle w:val="ListParagraph"/>
              <w:spacing w:after="0"/>
              <w:ind w:left="0"/>
              <w:jc w:val="both"/>
              <w:rPr>
                <w:rFonts w:ascii="Times New Roman" w:hAnsi="Times New Roman" w:cs="Times New Roman"/>
                <w:bCs/>
                <w:sz w:val="20"/>
                <w:szCs w:val="20"/>
                <w:lang w:val="fr-FR"/>
              </w:rPr>
            </w:pPr>
          </w:p>
          <w:p w14:paraId="7A63E716" w14:textId="3E2DBA03" w:rsidR="00552960" w:rsidRPr="0004134A" w:rsidRDefault="00302795"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Les partis politiques et autres acteurs politiques manifestent de l’intérêt aux activités du projet FIPP. La pertinence du projet et l’intérêt des bénéficiaires sont d’autant fondés que les intervenant</w:t>
            </w:r>
            <w:r w:rsidR="009725F4" w:rsidRPr="0004134A">
              <w:rPr>
                <w:rFonts w:ascii="Times New Roman" w:hAnsi="Times New Roman" w:cs="Times New Roman"/>
                <w:bCs/>
                <w:sz w:val="20"/>
                <w:szCs w:val="20"/>
                <w:lang w:val="fr-FR"/>
              </w:rPr>
              <w:t>s</w:t>
            </w:r>
            <w:r w:rsidRPr="0004134A">
              <w:rPr>
                <w:rFonts w:ascii="Times New Roman" w:hAnsi="Times New Roman" w:cs="Times New Roman"/>
                <w:bCs/>
                <w:sz w:val="20"/>
                <w:szCs w:val="20"/>
                <w:lang w:val="fr-FR"/>
              </w:rPr>
              <w:t xml:space="preserve"> sur </w:t>
            </w:r>
            <w:r w:rsidR="00803B5B" w:rsidRPr="0004134A">
              <w:rPr>
                <w:rFonts w:ascii="Times New Roman" w:hAnsi="Times New Roman" w:cs="Times New Roman"/>
                <w:bCs/>
                <w:sz w:val="20"/>
                <w:szCs w:val="20"/>
                <w:lang w:val="fr-FR"/>
              </w:rPr>
              <w:t>la thématique</w:t>
            </w:r>
            <w:r w:rsidRPr="0004134A">
              <w:rPr>
                <w:rFonts w:ascii="Times New Roman" w:hAnsi="Times New Roman" w:cs="Times New Roman"/>
                <w:bCs/>
                <w:sz w:val="20"/>
                <w:szCs w:val="20"/>
                <w:lang w:val="fr-FR"/>
              </w:rPr>
              <w:t xml:space="preserve"> de la démocratie multipartite et le renforcement des capacités des acteurs politiques ne sont pas légion. </w:t>
            </w:r>
          </w:p>
        </w:tc>
        <w:tc>
          <w:tcPr>
            <w:tcW w:w="3391" w:type="dxa"/>
          </w:tcPr>
          <w:p w14:paraId="6D8513FF" w14:textId="523FCB31" w:rsidR="00552960" w:rsidRPr="0004134A" w:rsidRDefault="00803B5B"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NIMD et ses partenaires de mise en œuvre vont continuer à adopter le profil bas et mettre en avant les valeurs d’intégrité, d’impartialité</w:t>
            </w:r>
            <w:r w:rsidR="009725F4" w:rsidRPr="0004134A">
              <w:rPr>
                <w:rFonts w:ascii="Times New Roman" w:hAnsi="Times New Roman" w:cs="Times New Roman"/>
                <w:bCs/>
                <w:sz w:val="20"/>
                <w:szCs w:val="20"/>
                <w:lang w:val="fr-FR"/>
              </w:rPr>
              <w:t>, inclusivité, flexibilité, engagement long-terme et appropriation au niveau local</w:t>
            </w:r>
            <w:r w:rsidRPr="0004134A">
              <w:rPr>
                <w:rFonts w:ascii="Times New Roman" w:hAnsi="Times New Roman" w:cs="Times New Roman"/>
                <w:bCs/>
                <w:sz w:val="20"/>
                <w:szCs w:val="20"/>
                <w:lang w:val="fr-FR"/>
              </w:rPr>
              <w:t xml:space="preserve"> </w:t>
            </w:r>
          </w:p>
        </w:tc>
      </w:tr>
      <w:tr w:rsidR="00E17887" w:rsidRPr="00911768" w14:paraId="4DE1E6B9" w14:textId="255D0D48" w:rsidTr="00FE5808">
        <w:trPr>
          <w:trHeight w:val="1166"/>
        </w:trPr>
        <w:tc>
          <w:tcPr>
            <w:tcW w:w="1594" w:type="dxa"/>
            <w:vMerge/>
          </w:tcPr>
          <w:p w14:paraId="0201BDE0"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17DDECF4" w14:textId="0601EA6D" w:rsidR="00552960" w:rsidRPr="0004134A" w:rsidRDefault="00552960" w:rsidP="00552960">
            <w:pPr>
              <w:pStyle w:val="ListParagraph"/>
              <w:spacing w:after="0"/>
              <w:ind w:left="0"/>
              <w:jc w:val="both"/>
              <w:rPr>
                <w:rFonts w:ascii="Times New Roman" w:hAnsi="Times New Roman" w:cs="Times New Roman"/>
                <w:bCs/>
                <w:sz w:val="20"/>
                <w:szCs w:val="20"/>
                <w:lang w:val="fr-FR"/>
              </w:rPr>
            </w:pPr>
            <w:bookmarkStart w:id="1" w:name="_Hlk158905893"/>
            <w:r w:rsidRPr="0004134A">
              <w:rPr>
                <w:rFonts w:ascii="Times New Roman" w:hAnsi="Times New Roman" w:cs="Times New Roman"/>
                <w:sz w:val="20"/>
                <w:szCs w:val="20"/>
                <w:lang w:val="fr-FR"/>
              </w:rPr>
              <w:t>Augmentation de la violence et des violations des droits de l'homme, intimidation, en particulier à l'approche des élections</w:t>
            </w:r>
            <w:bookmarkEnd w:id="1"/>
          </w:p>
        </w:tc>
        <w:tc>
          <w:tcPr>
            <w:tcW w:w="3003" w:type="dxa"/>
          </w:tcPr>
          <w:p w14:paraId="3B09E4E1"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Moyenne à élevée</w:t>
            </w:r>
          </w:p>
          <w:p w14:paraId="37D8176C" w14:textId="1B324232" w:rsidR="00552960" w:rsidRPr="0004134A" w:rsidRDefault="00552960" w:rsidP="00710DE3">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Bien qu'il reste beaucoup à faire, la situation des droits de l'homme s'est légèrement améliorée. Les partis d'opposition, bien que faiblement organisés, continuent de dialoguer avec le gouvernement par le biais de diverses voies formelles et informelles. Il s'agit, par exemple, de l'Assemblée nationale et du Forum permanent des partis politiques. La réussite de la mise en œuvre du projet exige que cette dynamique ne change pas. </w:t>
            </w:r>
          </w:p>
        </w:tc>
        <w:tc>
          <w:tcPr>
            <w:tcW w:w="2545" w:type="dxa"/>
          </w:tcPr>
          <w:p w14:paraId="1AC23BFC"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 à moyen</w:t>
            </w:r>
          </w:p>
          <w:p w14:paraId="3FA45A88" w14:textId="110B8C6D" w:rsidR="00552960" w:rsidRPr="0004134A" w:rsidRDefault="00552960" w:rsidP="006433A4">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Contrairement à son défunt prédécesseur et bien qu'il laisse encore beaucoup à désirer dans certains domaines, le président </w:t>
            </w:r>
            <w:proofErr w:type="spellStart"/>
            <w:r w:rsidRPr="0004134A">
              <w:rPr>
                <w:rFonts w:ascii="Times New Roman" w:hAnsi="Times New Roman" w:cs="Times New Roman"/>
                <w:sz w:val="20"/>
                <w:szCs w:val="20"/>
                <w:lang w:val="fr-FR"/>
              </w:rPr>
              <w:t>Ndayishimye</w:t>
            </w:r>
            <w:proofErr w:type="spellEnd"/>
            <w:r w:rsidRPr="0004134A">
              <w:rPr>
                <w:rFonts w:ascii="Times New Roman" w:hAnsi="Times New Roman" w:cs="Times New Roman"/>
                <w:sz w:val="20"/>
                <w:szCs w:val="20"/>
                <w:lang w:val="fr-FR"/>
              </w:rPr>
              <w:t xml:space="preserve"> s'est montré plus ouvert au changement. Il s'est engagé avec l'opposition et a amélioré ses relations avec l'Occident, débloquant ainsi les flux d'aide gelés par le président </w:t>
            </w:r>
            <w:proofErr w:type="spellStart"/>
            <w:r w:rsidRPr="0004134A">
              <w:rPr>
                <w:rFonts w:ascii="Times New Roman" w:hAnsi="Times New Roman" w:cs="Times New Roman"/>
                <w:sz w:val="20"/>
                <w:szCs w:val="20"/>
                <w:lang w:val="fr-FR"/>
              </w:rPr>
              <w:t>Nkurunziza</w:t>
            </w:r>
            <w:proofErr w:type="spellEnd"/>
            <w:r w:rsidRPr="0004134A">
              <w:rPr>
                <w:rFonts w:ascii="Times New Roman" w:hAnsi="Times New Roman" w:cs="Times New Roman"/>
                <w:sz w:val="20"/>
                <w:szCs w:val="20"/>
                <w:lang w:val="fr-FR"/>
              </w:rPr>
              <w:t xml:space="preserve">. Contrairement aux "généraux", une cabale de chefs militaires dont on dit qu'ils détiennent les véritables leviers du pouvoir, il n'est pas associé à certains des pires abus du </w:t>
            </w:r>
            <w:r w:rsidRPr="0004134A">
              <w:rPr>
                <w:rFonts w:ascii="Times New Roman" w:hAnsi="Times New Roman" w:cs="Times New Roman"/>
                <w:sz w:val="20"/>
                <w:szCs w:val="20"/>
                <w:lang w:val="fr-FR"/>
              </w:rPr>
              <w:lastRenderedPageBreak/>
              <w:t xml:space="preserve">régime, selon certains rapports. </w:t>
            </w:r>
          </w:p>
        </w:tc>
        <w:tc>
          <w:tcPr>
            <w:tcW w:w="2968" w:type="dxa"/>
          </w:tcPr>
          <w:p w14:paraId="7E27E1AE" w14:textId="77777777" w:rsidR="00770E41" w:rsidRPr="0004134A" w:rsidRDefault="00950A58" w:rsidP="00191C31">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lastRenderedPageBreak/>
              <w:t xml:space="preserve">La probabilité de ce risque passe de « faible à moyen » à « moyen à </w:t>
            </w:r>
            <w:proofErr w:type="spellStart"/>
            <w:r w:rsidRPr="0004134A">
              <w:rPr>
                <w:rFonts w:ascii="Times New Roman" w:hAnsi="Times New Roman" w:cs="Times New Roman"/>
                <w:bCs/>
                <w:i/>
                <w:iCs/>
                <w:sz w:val="20"/>
                <w:szCs w:val="20"/>
                <w:lang w:val="fr-FR"/>
              </w:rPr>
              <w:t>élevée</w:t>
            </w:r>
            <w:proofErr w:type="spellEnd"/>
            <w:r w:rsidRPr="0004134A">
              <w:rPr>
                <w:rFonts w:ascii="Times New Roman" w:hAnsi="Times New Roman" w:cs="Times New Roman"/>
                <w:bCs/>
                <w:i/>
                <w:iCs/>
                <w:sz w:val="20"/>
                <w:szCs w:val="20"/>
                <w:lang w:val="fr-FR"/>
              </w:rPr>
              <w:t xml:space="preserve"> ». </w:t>
            </w:r>
          </w:p>
          <w:p w14:paraId="23C69616" w14:textId="77777777" w:rsidR="00770E41" w:rsidRPr="0004134A" w:rsidRDefault="00770E41" w:rsidP="00191C31">
            <w:pPr>
              <w:pStyle w:val="ListParagraph"/>
              <w:spacing w:after="0"/>
              <w:ind w:left="0"/>
              <w:jc w:val="both"/>
              <w:rPr>
                <w:rFonts w:ascii="Times New Roman" w:hAnsi="Times New Roman" w:cs="Times New Roman"/>
                <w:bCs/>
                <w:sz w:val="20"/>
                <w:szCs w:val="20"/>
                <w:lang w:val="fr-FR"/>
              </w:rPr>
            </w:pPr>
          </w:p>
          <w:p w14:paraId="17B8C19A" w14:textId="5B09D894" w:rsidR="00191C31" w:rsidRPr="0004134A" w:rsidRDefault="00950A58" w:rsidP="00191C31">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Les relations entre le CNDD-FDD et le pouvoir qu’il incarne d’un </w:t>
            </w:r>
            <w:r w:rsidR="00191C31" w:rsidRPr="0004134A">
              <w:rPr>
                <w:rFonts w:ascii="Times New Roman" w:hAnsi="Times New Roman" w:cs="Times New Roman"/>
                <w:bCs/>
                <w:sz w:val="20"/>
                <w:szCs w:val="20"/>
                <w:lang w:val="fr-FR"/>
              </w:rPr>
              <w:t>côté,</w:t>
            </w:r>
            <w:r w:rsidRPr="0004134A">
              <w:rPr>
                <w:rFonts w:ascii="Times New Roman" w:hAnsi="Times New Roman" w:cs="Times New Roman"/>
                <w:bCs/>
                <w:sz w:val="20"/>
                <w:szCs w:val="20"/>
                <w:lang w:val="fr-FR"/>
              </w:rPr>
              <w:t xml:space="preserve"> et le</w:t>
            </w:r>
            <w:r w:rsidR="00191C31" w:rsidRPr="0004134A">
              <w:rPr>
                <w:rFonts w:ascii="Times New Roman" w:hAnsi="Times New Roman" w:cs="Times New Roman"/>
                <w:bCs/>
                <w:sz w:val="20"/>
                <w:szCs w:val="20"/>
                <w:lang w:val="fr-FR"/>
              </w:rPr>
              <w:t xml:space="preserve"> CNL, principal parti d’opposition de l’autre ont évolué en se détériorant. </w:t>
            </w:r>
          </w:p>
          <w:p w14:paraId="57AE165F" w14:textId="6411BE27" w:rsidR="00191C31" w:rsidRPr="0004134A" w:rsidRDefault="00191C31" w:rsidP="00191C31">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L’on constate également des divergences internes au sein de ces deux principaux partis politiques qui n’augurent pas un climat électoral apaisé. </w:t>
            </w:r>
          </w:p>
          <w:p w14:paraId="42EB9DCE" w14:textId="77777777" w:rsidR="00191C31" w:rsidRPr="0004134A" w:rsidRDefault="00191C31" w:rsidP="00191C31">
            <w:pPr>
              <w:pStyle w:val="ListParagraph"/>
              <w:spacing w:after="0"/>
              <w:ind w:left="0"/>
              <w:jc w:val="both"/>
              <w:rPr>
                <w:rFonts w:ascii="Times New Roman" w:hAnsi="Times New Roman" w:cs="Times New Roman"/>
                <w:bCs/>
                <w:sz w:val="20"/>
                <w:szCs w:val="20"/>
                <w:lang w:val="fr-FR"/>
              </w:rPr>
            </w:pPr>
          </w:p>
          <w:p w14:paraId="02B5AE5E" w14:textId="4C9D2044" w:rsidR="00191C31" w:rsidRPr="0004134A" w:rsidRDefault="00191C31" w:rsidP="00191C31">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La mise en place d’une nouvelle équipe de la CENI sans concertation préalable des forces politiques et forces vives de la Nation n’est pas non plus un facteur rassurant.</w:t>
            </w:r>
          </w:p>
          <w:p w14:paraId="78075F5A" w14:textId="0EEEFE94" w:rsidR="00552960" w:rsidRPr="0004134A" w:rsidRDefault="00191C31" w:rsidP="00191C31">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 </w:t>
            </w:r>
          </w:p>
        </w:tc>
        <w:tc>
          <w:tcPr>
            <w:tcW w:w="3391" w:type="dxa"/>
          </w:tcPr>
          <w:p w14:paraId="0F47E2BC" w14:textId="77777777" w:rsidR="00552960" w:rsidRPr="0004134A" w:rsidRDefault="00710DE3"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NIMD va travailler avec des organisations ayant une grande expertise et une grande expérience en matière de lutte contre les violences électorales et la manipulation de la jeunesse en période électorale (CENAP, REJA, CIDEP).</w:t>
            </w:r>
          </w:p>
          <w:p w14:paraId="3928B573" w14:textId="77777777" w:rsidR="00710DE3" w:rsidRPr="0004134A" w:rsidRDefault="00710DE3" w:rsidP="00552960">
            <w:pPr>
              <w:pStyle w:val="ListParagraph"/>
              <w:spacing w:after="0"/>
              <w:ind w:left="0"/>
              <w:jc w:val="both"/>
              <w:rPr>
                <w:rFonts w:ascii="Times New Roman" w:hAnsi="Times New Roman" w:cs="Times New Roman"/>
                <w:bCs/>
                <w:sz w:val="20"/>
                <w:szCs w:val="20"/>
                <w:lang w:val="fr-FR"/>
              </w:rPr>
            </w:pPr>
          </w:p>
          <w:p w14:paraId="7DD34F81" w14:textId="4DD72A53" w:rsidR="00710DE3" w:rsidRPr="0004134A" w:rsidRDefault="00710DE3"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NIMD va également travailler avec les partis politiques sur des thématiques de dialogue, de cohabitation pacifique, de cohésion sociale et de gestion des résultats des élections.</w:t>
            </w:r>
          </w:p>
        </w:tc>
      </w:tr>
      <w:tr w:rsidR="00E17887" w:rsidRPr="00911768" w14:paraId="0851C085" w14:textId="2E9E0B97" w:rsidTr="00FE5808">
        <w:trPr>
          <w:trHeight w:val="482"/>
        </w:trPr>
        <w:tc>
          <w:tcPr>
            <w:tcW w:w="1594" w:type="dxa"/>
            <w:vMerge/>
          </w:tcPr>
          <w:p w14:paraId="091B5A38"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7960D41E" w14:textId="0C7D88E6" w:rsidR="00552960" w:rsidRPr="0004134A" w:rsidRDefault="00552960" w:rsidP="00552960">
            <w:pPr>
              <w:rPr>
                <w:rFonts w:ascii="Times New Roman" w:hAnsi="Times New Roman" w:cs="Times New Roman"/>
                <w:sz w:val="20"/>
                <w:szCs w:val="20"/>
              </w:rPr>
            </w:pPr>
            <w:r w:rsidRPr="0004134A">
              <w:rPr>
                <w:rFonts w:ascii="Times New Roman" w:hAnsi="Times New Roman" w:cs="Times New Roman"/>
                <w:sz w:val="20"/>
                <w:szCs w:val="20"/>
              </w:rPr>
              <w:t xml:space="preserve">Report des </w:t>
            </w:r>
            <w:proofErr w:type="spellStart"/>
            <w:r w:rsidRPr="0004134A">
              <w:rPr>
                <w:rFonts w:ascii="Times New Roman" w:hAnsi="Times New Roman" w:cs="Times New Roman"/>
                <w:sz w:val="20"/>
                <w:szCs w:val="20"/>
              </w:rPr>
              <w:t>élections</w:t>
            </w:r>
            <w:proofErr w:type="spellEnd"/>
          </w:p>
        </w:tc>
        <w:tc>
          <w:tcPr>
            <w:tcW w:w="3003" w:type="dxa"/>
          </w:tcPr>
          <w:p w14:paraId="68C4AC44"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w:t>
            </w:r>
          </w:p>
          <w:p w14:paraId="12B68D2F" w14:textId="2CBB969C"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Le projet étant fondé sur la nécessité de préparer le terrain et de renforcer l'infrastructure formelle et informelle du Burundi en vue d'un processus électoral inclusif et pacifique en 2025, tout report de la date des élections pourrait avoir un impact à faible échelle sur le projet, car les activités du projet pourraient devoir être reportées pour rester pertinentes.</w:t>
            </w:r>
          </w:p>
        </w:tc>
        <w:tc>
          <w:tcPr>
            <w:tcW w:w="2545" w:type="dxa"/>
          </w:tcPr>
          <w:p w14:paraId="338DB2F8"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w:t>
            </w:r>
          </w:p>
          <w:p w14:paraId="59A3B8D7" w14:textId="49B586D2"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Rien n'indique pour l'instant qu'un report est à l'ordre du jour</w:t>
            </w:r>
          </w:p>
        </w:tc>
        <w:tc>
          <w:tcPr>
            <w:tcW w:w="2968" w:type="dxa"/>
          </w:tcPr>
          <w:p w14:paraId="13AE7F42" w14:textId="09BFA76C" w:rsidR="00552960" w:rsidRPr="0004134A" w:rsidRDefault="00FB557B"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 xml:space="preserve">La probabilité de ce risque passe de faible à </w:t>
            </w:r>
            <w:proofErr w:type="spellStart"/>
            <w:r w:rsidRPr="0004134A">
              <w:rPr>
                <w:rFonts w:ascii="Times New Roman" w:hAnsi="Times New Roman" w:cs="Times New Roman"/>
                <w:bCs/>
                <w:i/>
                <w:iCs/>
                <w:sz w:val="20"/>
                <w:szCs w:val="20"/>
                <w:lang w:val="fr-FR"/>
              </w:rPr>
              <w:t>élevée</w:t>
            </w:r>
            <w:proofErr w:type="spellEnd"/>
            <w:r w:rsidRPr="0004134A">
              <w:rPr>
                <w:rFonts w:ascii="Times New Roman" w:hAnsi="Times New Roman" w:cs="Times New Roman"/>
                <w:bCs/>
                <w:i/>
                <w:iCs/>
                <w:sz w:val="20"/>
                <w:szCs w:val="20"/>
                <w:lang w:val="fr-FR"/>
              </w:rPr>
              <w:t xml:space="preserve">. </w:t>
            </w:r>
          </w:p>
          <w:p w14:paraId="58814348" w14:textId="77777777" w:rsidR="00FB557B" w:rsidRPr="0004134A" w:rsidRDefault="00FB557B" w:rsidP="00552960">
            <w:pPr>
              <w:pStyle w:val="ListParagraph"/>
              <w:spacing w:after="0"/>
              <w:ind w:left="0"/>
              <w:jc w:val="both"/>
              <w:rPr>
                <w:rFonts w:ascii="Times New Roman" w:hAnsi="Times New Roman" w:cs="Times New Roman"/>
                <w:bCs/>
                <w:i/>
                <w:iCs/>
                <w:sz w:val="20"/>
                <w:szCs w:val="20"/>
                <w:lang w:val="fr-FR"/>
              </w:rPr>
            </w:pPr>
          </w:p>
          <w:p w14:paraId="0052ECC4" w14:textId="3C0BB791" w:rsidR="00FB557B" w:rsidRPr="0004134A" w:rsidRDefault="00FB557B" w:rsidP="00E17887">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La mise en place d’une nouvelle équipe de la CENI a été effectuée avec retard et cela risque d’impacter sur la préparation des élections locales prévues en 2025. Il en est de même des textes devant les régir.</w:t>
            </w:r>
            <w:r w:rsidR="00E17887" w:rsidRPr="0004134A">
              <w:rPr>
                <w:rFonts w:ascii="Times New Roman" w:hAnsi="Times New Roman" w:cs="Times New Roman"/>
                <w:bCs/>
                <w:sz w:val="20"/>
                <w:szCs w:val="20"/>
                <w:lang w:val="fr-FR"/>
              </w:rPr>
              <w:t xml:space="preserve"> </w:t>
            </w:r>
            <w:r w:rsidRPr="0004134A">
              <w:rPr>
                <w:rFonts w:ascii="Times New Roman" w:hAnsi="Times New Roman" w:cs="Times New Roman"/>
                <w:bCs/>
                <w:sz w:val="20"/>
                <w:szCs w:val="20"/>
                <w:lang w:val="fr-FR"/>
              </w:rPr>
              <w:t xml:space="preserve">En effet, l’organisation de tous les scrutins prévus (collinaires, communales, législatifs, sénatoriaux) dans un contexte de nouveau découpage territorial présente beaucoup de défis en termes de préparatifs techniques et logistique.   </w:t>
            </w:r>
          </w:p>
        </w:tc>
        <w:tc>
          <w:tcPr>
            <w:tcW w:w="3391" w:type="dxa"/>
          </w:tcPr>
          <w:p w14:paraId="002F5FEC" w14:textId="6A38AC2E" w:rsidR="00552960" w:rsidRPr="0004134A" w:rsidRDefault="00602D52"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NIMD va continuer à travailler avec en synergie avec d’autres acteurs pour accompagner et plaider en faveur du respect des échéances électorales.  Il associera les partis politiques, les acteurs politiques et la </w:t>
            </w:r>
            <w:r w:rsidR="00E17887" w:rsidRPr="0004134A">
              <w:rPr>
                <w:rFonts w:ascii="Times New Roman" w:hAnsi="Times New Roman" w:cs="Times New Roman"/>
                <w:bCs/>
                <w:sz w:val="20"/>
                <w:szCs w:val="20"/>
                <w:lang w:val="fr-FR"/>
              </w:rPr>
              <w:t>CENI dans</w:t>
            </w:r>
            <w:r w:rsidRPr="0004134A">
              <w:rPr>
                <w:rFonts w:ascii="Times New Roman" w:hAnsi="Times New Roman" w:cs="Times New Roman"/>
                <w:bCs/>
                <w:sz w:val="20"/>
                <w:szCs w:val="20"/>
                <w:lang w:val="fr-FR"/>
              </w:rPr>
              <w:t xml:space="preserve"> ce travail.</w:t>
            </w:r>
          </w:p>
        </w:tc>
      </w:tr>
      <w:tr w:rsidR="00E17887" w:rsidRPr="00911768" w14:paraId="00EC6FBD" w14:textId="347F9FD3" w:rsidTr="00FE5808">
        <w:trPr>
          <w:trHeight w:val="841"/>
        </w:trPr>
        <w:tc>
          <w:tcPr>
            <w:tcW w:w="1594" w:type="dxa"/>
            <w:vMerge w:val="restart"/>
          </w:tcPr>
          <w:p w14:paraId="29B09405" w14:textId="7DD3D8D4" w:rsidR="00552960" w:rsidRPr="0004134A" w:rsidRDefault="00552960" w:rsidP="00A959FF">
            <w:pPr>
              <w:pStyle w:val="ListParagraph"/>
              <w:spacing w:after="0"/>
              <w:ind w:left="0"/>
              <w:rPr>
                <w:rFonts w:ascii="Times New Roman" w:hAnsi="Times New Roman" w:cs="Times New Roman"/>
                <w:bCs/>
                <w:sz w:val="20"/>
                <w:szCs w:val="20"/>
                <w:lang w:val="fr-FR"/>
              </w:rPr>
            </w:pPr>
            <w:r w:rsidRPr="0004134A">
              <w:rPr>
                <w:rFonts w:ascii="Times New Roman" w:hAnsi="Times New Roman" w:cs="Times New Roman"/>
                <w:bCs/>
                <w:sz w:val="20"/>
                <w:szCs w:val="20"/>
                <w:lang w:val="fr-FR"/>
              </w:rPr>
              <w:t>Programmatique</w:t>
            </w:r>
          </w:p>
        </w:tc>
        <w:tc>
          <w:tcPr>
            <w:tcW w:w="1809" w:type="dxa"/>
          </w:tcPr>
          <w:p w14:paraId="7CB8B81D" w14:textId="77777777" w:rsidR="00552960" w:rsidRPr="0004134A" w:rsidRDefault="00552960" w:rsidP="00552960">
            <w:pPr>
              <w:rPr>
                <w:rFonts w:ascii="Times New Roman" w:hAnsi="Times New Roman" w:cs="Times New Roman"/>
                <w:sz w:val="20"/>
                <w:szCs w:val="20"/>
                <w:lang w:val="fr-FR"/>
              </w:rPr>
            </w:pPr>
            <w:bookmarkStart w:id="2" w:name="_Hlk158906687"/>
            <w:r w:rsidRPr="0004134A">
              <w:rPr>
                <w:rFonts w:ascii="Times New Roman" w:hAnsi="Times New Roman" w:cs="Times New Roman"/>
                <w:sz w:val="20"/>
                <w:szCs w:val="20"/>
                <w:lang w:val="fr-FR"/>
              </w:rPr>
              <w:t>Retards dans la mise en place d'une présence au bureau de la NIMD, qui peuvent être liés :</w:t>
            </w:r>
          </w:p>
          <w:p w14:paraId="663F76BD" w14:textId="77777777" w:rsidR="00552960" w:rsidRPr="0004134A" w:rsidRDefault="00552960" w:rsidP="00552960">
            <w:pPr>
              <w:pStyle w:val="ListParagraph"/>
              <w:numPr>
                <w:ilvl w:val="0"/>
                <w:numId w:val="44"/>
              </w:numPr>
              <w:spacing w:after="0" w:line="240" w:lineRule="auto"/>
              <w:ind w:left="244" w:hanging="357"/>
              <w:rPr>
                <w:rFonts w:ascii="Times New Roman" w:hAnsi="Times New Roman" w:cs="Times New Roman"/>
                <w:sz w:val="20"/>
                <w:szCs w:val="20"/>
                <w:lang w:val="fr-FR"/>
              </w:rPr>
            </w:pPr>
            <w:r w:rsidRPr="0004134A">
              <w:rPr>
                <w:rFonts w:ascii="Times New Roman" w:hAnsi="Times New Roman" w:cs="Times New Roman"/>
                <w:sz w:val="20"/>
                <w:szCs w:val="20"/>
                <w:lang w:val="fr-FR"/>
              </w:rPr>
              <w:t>Bureaucratie du gouvernement burundais et critères d'enregistrement</w:t>
            </w:r>
          </w:p>
          <w:p w14:paraId="707D1F93" w14:textId="77777777" w:rsidR="00552960" w:rsidRPr="0004134A" w:rsidRDefault="00552960" w:rsidP="00552960">
            <w:pPr>
              <w:pStyle w:val="ListParagraph"/>
              <w:numPr>
                <w:ilvl w:val="0"/>
                <w:numId w:val="44"/>
              </w:numPr>
              <w:spacing w:after="0" w:line="240" w:lineRule="auto"/>
              <w:ind w:left="244" w:hanging="357"/>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Recrutement du personnel des </w:t>
            </w:r>
            <w:r w:rsidRPr="0004134A">
              <w:rPr>
                <w:rFonts w:ascii="Times New Roman" w:hAnsi="Times New Roman" w:cs="Times New Roman"/>
                <w:sz w:val="20"/>
                <w:szCs w:val="20"/>
                <w:lang w:val="fr-FR"/>
              </w:rPr>
              <w:lastRenderedPageBreak/>
              <w:t xml:space="preserve">bureaux nationaux </w:t>
            </w:r>
          </w:p>
          <w:bookmarkEnd w:id="2"/>
          <w:p w14:paraId="762B400E" w14:textId="49E85120" w:rsidR="00552960" w:rsidRPr="0004134A" w:rsidRDefault="00552960" w:rsidP="00552960">
            <w:pPr>
              <w:spacing w:after="0" w:line="240" w:lineRule="auto"/>
              <w:ind w:left="-113"/>
              <w:rPr>
                <w:rFonts w:ascii="Times New Roman" w:hAnsi="Times New Roman" w:cs="Times New Roman"/>
                <w:sz w:val="20"/>
                <w:szCs w:val="20"/>
                <w:lang w:val="fr-FR"/>
              </w:rPr>
            </w:pPr>
          </w:p>
        </w:tc>
        <w:tc>
          <w:tcPr>
            <w:tcW w:w="3003" w:type="dxa"/>
          </w:tcPr>
          <w:p w14:paraId="5401FF27"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lastRenderedPageBreak/>
              <w:t>Faible à moyen</w:t>
            </w:r>
          </w:p>
          <w:p w14:paraId="698AA334" w14:textId="77777777" w:rsidR="00552960" w:rsidRPr="0004134A" w:rsidRDefault="00552960" w:rsidP="00552960">
            <w:pPr>
              <w:rPr>
                <w:rFonts w:ascii="Times New Roman" w:hAnsi="Times New Roman" w:cs="Times New Roman"/>
                <w:sz w:val="20"/>
                <w:szCs w:val="20"/>
                <w:lang w:val="fr-FR"/>
              </w:rPr>
            </w:pPr>
            <w:r w:rsidRPr="0004134A">
              <w:rPr>
                <w:rFonts w:ascii="Times New Roman" w:hAnsi="Times New Roman" w:cs="Times New Roman"/>
                <w:sz w:val="20"/>
                <w:szCs w:val="20"/>
                <w:lang w:val="fr-FR"/>
              </w:rPr>
              <w:t>La mise en œuvre efficace du projet repose sur la création par la NIMD d'un bureau national plutôt que sur l'approche traditionnelle consistant à travailler par l'intermédiaire d'un partenaire local, qui a ses avantages mais a également montré ses limites.</w:t>
            </w:r>
            <w:r w:rsidRPr="0004134A">
              <w:rPr>
                <w:rStyle w:val="FootnoteReference"/>
                <w:rFonts w:ascii="Times New Roman" w:hAnsi="Times New Roman" w:cs="Times New Roman"/>
                <w:sz w:val="20"/>
                <w:szCs w:val="20"/>
              </w:rPr>
              <w:footnoteReference w:id="1"/>
            </w:r>
            <w:r w:rsidRPr="0004134A">
              <w:rPr>
                <w:rFonts w:ascii="Times New Roman" w:hAnsi="Times New Roman" w:cs="Times New Roman"/>
                <w:sz w:val="20"/>
                <w:szCs w:val="20"/>
                <w:lang w:val="fr-FR"/>
              </w:rPr>
              <w:t xml:space="preserve"> Les retards dans la mise en place de cette présence se traduiront par un démarrage lent du projet, y </w:t>
            </w:r>
            <w:r w:rsidRPr="0004134A">
              <w:rPr>
                <w:rFonts w:ascii="Times New Roman" w:hAnsi="Times New Roman" w:cs="Times New Roman"/>
                <w:sz w:val="20"/>
                <w:szCs w:val="20"/>
                <w:lang w:val="fr-FR"/>
              </w:rPr>
              <w:lastRenderedPageBreak/>
              <w:t xml:space="preserve">compris le recrutement tardif de personnel compétent, ce qui se traduira en fin de compte par des retards supplémentaires dans la mise en œuvre du projet proprement dit. </w:t>
            </w:r>
          </w:p>
          <w:p w14:paraId="74455AC9" w14:textId="77777777" w:rsidR="00552960" w:rsidRPr="0004134A" w:rsidRDefault="00552960" w:rsidP="00552960">
            <w:pPr>
              <w:pStyle w:val="ListParagraph"/>
              <w:spacing w:after="0"/>
              <w:ind w:left="0"/>
              <w:jc w:val="both"/>
              <w:rPr>
                <w:rFonts w:ascii="Times New Roman" w:hAnsi="Times New Roman" w:cs="Times New Roman"/>
                <w:bCs/>
                <w:sz w:val="20"/>
                <w:szCs w:val="20"/>
                <w:lang w:val="fr-FR"/>
              </w:rPr>
            </w:pPr>
          </w:p>
        </w:tc>
        <w:tc>
          <w:tcPr>
            <w:tcW w:w="2545" w:type="dxa"/>
          </w:tcPr>
          <w:p w14:paraId="5A78C0D7"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lastRenderedPageBreak/>
              <w:t>Faible à moyen</w:t>
            </w:r>
          </w:p>
          <w:p w14:paraId="37AFAA17" w14:textId="61819CA5" w:rsidR="00552960" w:rsidRPr="0004134A" w:rsidRDefault="00552960" w:rsidP="006433A4">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Les deux parties prenantes du projet, du côté du financement et de la mise en œuvre, reconnaissent le lien entre le projet (et sa pertinence) et le processus électoral de 2025, et donc son urgence. Les partenaires de mise en œuvre se sont engagés et sont prêts à commencer dès que l'accord </w:t>
            </w:r>
            <w:r w:rsidRPr="0004134A">
              <w:rPr>
                <w:rFonts w:ascii="Times New Roman" w:hAnsi="Times New Roman" w:cs="Times New Roman"/>
                <w:sz w:val="20"/>
                <w:szCs w:val="20"/>
                <w:lang w:val="fr-FR"/>
              </w:rPr>
              <w:lastRenderedPageBreak/>
              <w:t xml:space="preserve">de financement sera signé et que les fonds seront engagés. Des mesures initiales ont été prises pour ouvrir un compte bancaire et une phase de démarrage a été incorporée dans le plan d'action du projet. Cet engagement et cette préparation réduisent la probabilité de retards supplémentaires (ou prolongés) une fois le financement engagé. </w:t>
            </w:r>
          </w:p>
        </w:tc>
        <w:tc>
          <w:tcPr>
            <w:tcW w:w="2968" w:type="dxa"/>
          </w:tcPr>
          <w:p w14:paraId="012E0C85" w14:textId="3D07F819" w:rsidR="004B63E9" w:rsidRPr="0004134A" w:rsidRDefault="004B63E9"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lastRenderedPageBreak/>
              <w:t>La probabilité du risque est devenue nulle</w:t>
            </w:r>
          </w:p>
          <w:p w14:paraId="3002EE7F" w14:textId="77777777" w:rsidR="004B63E9" w:rsidRPr="0004134A" w:rsidRDefault="004B63E9" w:rsidP="00552960">
            <w:pPr>
              <w:pStyle w:val="ListParagraph"/>
              <w:spacing w:after="0"/>
              <w:ind w:left="0"/>
              <w:jc w:val="both"/>
              <w:rPr>
                <w:rFonts w:ascii="Times New Roman" w:hAnsi="Times New Roman" w:cs="Times New Roman"/>
                <w:bCs/>
                <w:sz w:val="20"/>
                <w:szCs w:val="20"/>
                <w:lang w:val="fr-FR"/>
              </w:rPr>
            </w:pPr>
          </w:p>
          <w:p w14:paraId="2369467A" w14:textId="064A6C40" w:rsidR="00552960" w:rsidRPr="0004134A" w:rsidRDefault="000B4DAC" w:rsidP="00552960">
            <w:pPr>
              <w:pStyle w:val="ListParagraph"/>
              <w:spacing w:after="0"/>
              <w:ind w:left="0"/>
              <w:jc w:val="both"/>
              <w:rPr>
                <w:rFonts w:ascii="Times New Roman" w:hAnsi="Times New Roman" w:cs="Times New Roman"/>
                <w:bCs/>
                <w:sz w:val="20"/>
                <w:szCs w:val="20"/>
                <w:lang w:val="fr-FR"/>
              </w:rPr>
            </w:pPr>
            <w:bookmarkStart w:id="3" w:name="_Hlk158906896"/>
            <w:r w:rsidRPr="0004134A">
              <w:rPr>
                <w:rFonts w:ascii="Times New Roman" w:hAnsi="Times New Roman" w:cs="Times New Roman"/>
                <w:bCs/>
                <w:sz w:val="20"/>
                <w:szCs w:val="20"/>
                <w:lang w:val="fr-FR"/>
              </w:rPr>
              <w:t xml:space="preserve">L’enregistrement et le recrutement ont été réalisé selon les procédures normales dans des délais raisonnables. </w:t>
            </w:r>
            <w:r w:rsidR="00963350" w:rsidRPr="0004134A">
              <w:rPr>
                <w:rFonts w:ascii="Times New Roman" w:hAnsi="Times New Roman" w:cs="Times New Roman"/>
                <w:bCs/>
                <w:sz w:val="20"/>
                <w:szCs w:val="20"/>
                <w:lang w:val="fr-FR"/>
              </w:rPr>
              <w:t xml:space="preserve">La signature du contrat de financement en février 2023 a été suivie du recrutement du Directeur Pays au mois d’avril 2023, la location et équipement du bureau national à partir du mois de mai 2023 et le recrutement du </w:t>
            </w:r>
            <w:r w:rsidR="00963350" w:rsidRPr="0004134A">
              <w:rPr>
                <w:rFonts w:ascii="Times New Roman" w:hAnsi="Times New Roman" w:cs="Times New Roman"/>
                <w:bCs/>
                <w:sz w:val="20"/>
                <w:szCs w:val="20"/>
                <w:lang w:val="fr-FR"/>
              </w:rPr>
              <w:lastRenderedPageBreak/>
              <w:t>Responsable Administratif et Financier et du Responsable Programme, respectivement aux mois d’Aout et de septembre 2023</w:t>
            </w:r>
            <w:r w:rsidRPr="0004134A">
              <w:rPr>
                <w:rFonts w:ascii="Times New Roman" w:hAnsi="Times New Roman" w:cs="Times New Roman"/>
                <w:bCs/>
                <w:sz w:val="20"/>
                <w:szCs w:val="20"/>
                <w:lang w:val="fr-FR"/>
              </w:rPr>
              <w:t xml:space="preserve">, ce qui </w:t>
            </w:r>
            <w:r w:rsidR="00D272B9" w:rsidRPr="0004134A">
              <w:rPr>
                <w:rFonts w:ascii="Times New Roman" w:hAnsi="Times New Roman" w:cs="Times New Roman"/>
                <w:bCs/>
                <w:sz w:val="20"/>
                <w:szCs w:val="20"/>
                <w:lang w:val="fr-FR"/>
              </w:rPr>
              <w:t xml:space="preserve">a facilité la mise en place du bureau-pays. </w:t>
            </w:r>
          </w:p>
          <w:p w14:paraId="4EF069B0" w14:textId="77777777" w:rsidR="00D272B9" w:rsidRPr="0004134A" w:rsidRDefault="00D272B9" w:rsidP="00552960">
            <w:pPr>
              <w:pStyle w:val="ListParagraph"/>
              <w:spacing w:after="0"/>
              <w:ind w:left="0"/>
              <w:jc w:val="both"/>
              <w:rPr>
                <w:rFonts w:ascii="Times New Roman" w:hAnsi="Times New Roman" w:cs="Times New Roman"/>
                <w:bCs/>
                <w:sz w:val="20"/>
                <w:szCs w:val="20"/>
                <w:lang w:val="fr-FR"/>
              </w:rPr>
            </w:pPr>
          </w:p>
          <w:p w14:paraId="23B8BB0C" w14:textId="44563E50" w:rsidR="00D272B9" w:rsidRPr="0004134A" w:rsidRDefault="000B4DAC"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w:t>
            </w:r>
            <w:r w:rsidR="002E2F5B" w:rsidRPr="0004134A">
              <w:rPr>
                <w:rFonts w:ascii="Times New Roman" w:hAnsi="Times New Roman" w:cs="Times New Roman"/>
                <w:bCs/>
                <w:sz w:val="20"/>
                <w:szCs w:val="20"/>
                <w:lang w:val="fr-FR"/>
              </w:rPr>
              <w:t xml:space="preserve">a convention générale de coopération entre la République du Burundi et NIMD </w:t>
            </w:r>
            <w:r w:rsidRPr="0004134A">
              <w:rPr>
                <w:rFonts w:ascii="Times New Roman" w:hAnsi="Times New Roman" w:cs="Times New Roman"/>
                <w:bCs/>
                <w:sz w:val="20"/>
                <w:szCs w:val="20"/>
                <w:lang w:val="fr-FR"/>
              </w:rPr>
              <w:t xml:space="preserve">a, quant à elle, </w:t>
            </w:r>
            <w:r w:rsidR="002E2F5B" w:rsidRPr="0004134A">
              <w:rPr>
                <w:rFonts w:ascii="Times New Roman" w:hAnsi="Times New Roman" w:cs="Times New Roman"/>
                <w:bCs/>
                <w:sz w:val="20"/>
                <w:szCs w:val="20"/>
                <w:lang w:val="fr-FR"/>
              </w:rPr>
              <w:t>été signée que le 31/1/2024.</w:t>
            </w:r>
            <w:r w:rsidR="00D272B9" w:rsidRPr="0004134A">
              <w:rPr>
                <w:rFonts w:ascii="Times New Roman" w:hAnsi="Times New Roman" w:cs="Times New Roman"/>
                <w:bCs/>
                <w:sz w:val="20"/>
                <w:szCs w:val="20"/>
                <w:lang w:val="fr-FR"/>
              </w:rPr>
              <w:t xml:space="preserve"> </w:t>
            </w:r>
            <w:bookmarkEnd w:id="3"/>
          </w:p>
        </w:tc>
        <w:tc>
          <w:tcPr>
            <w:tcW w:w="3391" w:type="dxa"/>
          </w:tcPr>
          <w:p w14:paraId="4D904BAD" w14:textId="4C0B2FE3" w:rsidR="00552960" w:rsidRPr="0004134A" w:rsidRDefault="00596BF1"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lastRenderedPageBreak/>
              <w:t xml:space="preserve">Le recrutement du personnel autre que l’équipe dirigeante (management team) </w:t>
            </w:r>
            <w:r w:rsidR="004B63E9" w:rsidRPr="0004134A">
              <w:rPr>
                <w:rFonts w:ascii="Times New Roman" w:hAnsi="Times New Roman" w:cs="Times New Roman"/>
                <w:bCs/>
                <w:sz w:val="20"/>
                <w:szCs w:val="20"/>
                <w:lang w:val="fr-FR"/>
              </w:rPr>
              <w:t>va suivre</w:t>
            </w:r>
            <w:r w:rsidRPr="0004134A">
              <w:rPr>
                <w:rFonts w:ascii="Times New Roman" w:hAnsi="Times New Roman" w:cs="Times New Roman"/>
                <w:bCs/>
                <w:sz w:val="20"/>
                <w:szCs w:val="20"/>
                <w:lang w:val="fr-FR"/>
              </w:rPr>
              <w:t xml:space="preserve"> l’agrément </w:t>
            </w:r>
            <w:r w:rsidR="004B63E9" w:rsidRPr="0004134A">
              <w:rPr>
                <w:rFonts w:ascii="Times New Roman" w:hAnsi="Times New Roman" w:cs="Times New Roman"/>
                <w:bCs/>
                <w:sz w:val="20"/>
                <w:szCs w:val="20"/>
                <w:lang w:val="fr-FR"/>
              </w:rPr>
              <w:t>et</w:t>
            </w:r>
            <w:r w:rsidRPr="0004134A">
              <w:rPr>
                <w:rFonts w:ascii="Times New Roman" w:hAnsi="Times New Roman" w:cs="Times New Roman"/>
                <w:bCs/>
                <w:sz w:val="20"/>
                <w:szCs w:val="20"/>
                <w:lang w:val="fr-FR"/>
              </w:rPr>
              <w:t xml:space="preserve"> les</w:t>
            </w:r>
            <w:r w:rsidR="004B63E9" w:rsidRPr="0004134A">
              <w:rPr>
                <w:rFonts w:ascii="Times New Roman" w:hAnsi="Times New Roman" w:cs="Times New Roman"/>
                <w:bCs/>
                <w:sz w:val="20"/>
                <w:szCs w:val="20"/>
                <w:lang w:val="fr-FR"/>
              </w:rPr>
              <w:t xml:space="preserve"> premiers</w:t>
            </w:r>
            <w:r w:rsidRPr="0004134A">
              <w:rPr>
                <w:rFonts w:ascii="Times New Roman" w:hAnsi="Times New Roman" w:cs="Times New Roman"/>
                <w:bCs/>
                <w:sz w:val="20"/>
                <w:szCs w:val="20"/>
                <w:lang w:val="fr-FR"/>
              </w:rPr>
              <w:t xml:space="preserve"> TDRS sont déjà prêts.  </w:t>
            </w:r>
          </w:p>
          <w:p w14:paraId="1D9B537B" w14:textId="77777777" w:rsidR="00596BF1" w:rsidRPr="0004134A" w:rsidRDefault="00596BF1" w:rsidP="00552960">
            <w:pPr>
              <w:pStyle w:val="ListParagraph"/>
              <w:spacing w:after="0"/>
              <w:ind w:left="0"/>
              <w:jc w:val="both"/>
              <w:rPr>
                <w:rFonts w:ascii="Times New Roman" w:hAnsi="Times New Roman" w:cs="Times New Roman"/>
                <w:bCs/>
                <w:sz w:val="20"/>
                <w:szCs w:val="20"/>
                <w:lang w:val="fr-FR"/>
              </w:rPr>
            </w:pPr>
          </w:p>
          <w:p w14:paraId="1F23393F" w14:textId="7B8A93DE" w:rsidR="00596BF1" w:rsidRPr="0004134A" w:rsidRDefault="00596BF1"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L’équipe NIMD a organisé un mini-atelier avec les services techniques du ministère de l’intérieur pour anticiper sur l’élaboration du protocole d’exécution aussitôt après </w:t>
            </w:r>
            <w:r w:rsidR="00121978" w:rsidRPr="0004134A">
              <w:rPr>
                <w:rFonts w:ascii="Times New Roman" w:hAnsi="Times New Roman" w:cs="Times New Roman"/>
                <w:bCs/>
                <w:sz w:val="20"/>
                <w:szCs w:val="20"/>
                <w:lang w:val="fr-FR"/>
              </w:rPr>
              <w:t>l’approbation d</w:t>
            </w:r>
            <w:r w:rsidRPr="0004134A">
              <w:rPr>
                <w:rFonts w:ascii="Times New Roman" w:hAnsi="Times New Roman" w:cs="Times New Roman"/>
                <w:bCs/>
                <w:sz w:val="20"/>
                <w:szCs w:val="20"/>
                <w:lang w:val="fr-FR"/>
              </w:rPr>
              <w:t>’</w:t>
            </w:r>
            <w:r w:rsidR="00121978" w:rsidRPr="0004134A">
              <w:rPr>
                <w:rFonts w:ascii="Times New Roman" w:hAnsi="Times New Roman" w:cs="Times New Roman"/>
                <w:bCs/>
                <w:sz w:val="20"/>
                <w:szCs w:val="20"/>
                <w:lang w:val="fr-FR"/>
              </w:rPr>
              <w:t>enregistrement par le ministère des relations extérieures.</w:t>
            </w:r>
            <w:r w:rsidRPr="0004134A">
              <w:rPr>
                <w:rFonts w:ascii="Times New Roman" w:hAnsi="Times New Roman" w:cs="Times New Roman"/>
                <w:bCs/>
                <w:sz w:val="20"/>
                <w:szCs w:val="20"/>
                <w:lang w:val="fr-FR"/>
              </w:rPr>
              <w:t xml:space="preserve"> </w:t>
            </w:r>
          </w:p>
        </w:tc>
      </w:tr>
      <w:tr w:rsidR="00E17887" w:rsidRPr="00911768" w14:paraId="6BB781C2" w14:textId="2557F4B7" w:rsidTr="00FE5808">
        <w:trPr>
          <w:trHeight w:val="583"/>
        </w:trPr>
        <w:tc>
          <w:tcPr>
            <w:tcW w:w="1594" w:type="dxa"/>
            <w:vMerge/>
          </w:tcPr>
          <w:p w14:paraId="6B239E8A"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50860FB1" w14:textId="05D44D1C"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Capacité d'absorption limitée/faible des partis politiques</w:t>
            </w:r>
          </w:p>
        </w:tc>
        <w:tc>
          <w:tcPr>
            <w:tcW w:w="3003" w:type="dxa"/>
          </w:tcPr>
          <w:p w14:paraId="65D8971C"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Moyenne à élevée</w:t>
            </w:r>
          </w:p>
          <w:p w14:paraId="4214CC8C" w14:textId="43C8F37E"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 xml:space="preserve">Si les partis politiques sont faibles et ont </w:t>
            </w:r>
            <w:r w:rsidR="000A4A2F" w:rsidRPr="0004134A">
              <w:rPr>
                <w:rFonts w:ascii="Times New Roman" w:hAnsi="Times New Roman" w:cs="Times New Roman"/>
                <w:sz w:val="20"/>
                <w:szCs w:val="20"/>
                <w:lang w:val="fr-FR"/>
              </w:rPr>
              <w:t>une faible capacitée</w:t>
            </w:r>
            <w:r w:rsidRPr="0004134A">
              <w:rPr>
                <w:rFonts w:ascii="Times New Roman" w:hAnsi="Times New Roman" w:cs="Times New Roman"/>
                <w:sz w:val="20"/>
                <w:szCs w:val="20"/>
                <w:lang w:val="fr-FR"/>
              </w:rPr>
              <w:t xml:space="preserve"> d'absorption, cela pourrait compromettre l'impact durable du projet.</w:t>
            </w:r>
          </w:p>
        </w:tc>
        <w:tc>
          <w:tcPr>
            <w:tcW w:w="2545" w:type="dxa"/>
          </w:tcPr>
          <w:p w14:paraId="6491264A"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 à moyen</w:t>
            </w:r>
          </w:p>
          <w:p w14:paraId="1907393D" w14:textId="44634D6B" w:rsidR="00552960" w:rsidRPr="0004134A" w:rsidRDefault="00552960" w:rsidP="006433A4">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Le fait que l'intérêt soit constant est également un signe fort d'engagement de leur part à fournir les efforts nécessaires. Plus important encore, les partis politiques burundais ne sont pas totalement novices dans ce type de soutien, ce qui réduit considérablement les problèmes de capacité d'absorption. </w:t>
            </w:r>
          </w:p>
        </w:tc>
        <w:tc>
          <w:tcPr>
            <w:tcW w:w="2968" w:type="dxa"/>
          </w:tcPr>
          <w:p w14:paraId="59F4814E" w14:textId="77777777" w:rsidR="00552960" w:rsidRPr="0004134A" w:rsidRDefault="00710DE3"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 xml:space="preserve">La probabilité de ce risque reste au </w:t>
            </w:r>
            <w:r w:rsidR="004857FB" w:rsidRPr="0004134A">
              <w:rPr>
                <w:rFonts w:ascii="Times New Roman" w:hAnsi="Times New Roman" w:cs="Times New Roman"/>
                <w:bCs/>
                <w:i/>
                <w:iCs/>
                <w:sz w:val="20"/>
                <w:szCs w:val="20"/>
                <w:lang w:val="fr-FR"/>
              </w:rPr>
              <w:t>même</w:t>
            </w:r>
            <w:r w:rsidRPr="0004134A">
              <w:rPr>
                <w:rFonts w:ascii="Times New Roman" w:hAnsi="Times New Roman" w:cs="Times New Roman"/>
                <w:bCs/>
                <w:i/>
                <w:iCs/>
                <w:sz w:val="20"/>
                <w:szCs w:val="20"/>
                <w:lang w:val="fr-FR"/>
              </w:rPr>
              <w:t xml:space="preserve"> niveau</w:t>
            </w:r>
            <w:r w:rsidR="004857FB" w:rsidRPr="0004134A">
              <w:rPr>
                <w:rFonts w:ascii="Times New Roman" w:hAnsi="Times New Roman" w:cs="Times New Roman"/>
                <w:bCs/>
                <w:i/>
                <w:iCs/>
                <w:sz w:val="20"/>
                <w:szCs w:val="20"/>
                <w:lang w:val="fr-FR"/>
              </w:rPr>
              <w:t>, faible à moyen.</w:t>
            </w:r>
          </w:p>
          <w:p w14:paraId="7AE0D8D1" w14:textId="77777777" w:rsidR="004857FB" w:rsidRPr="0004134A" w:rsidRDefault="004857FB" w:rsidP="00552960">
            <w:pPr>
              <w:pStyle w:val="ListParagraph"/>
              <w:spacing w:after="0"/>
              <w:ind w:left="0"/>
              <w:jc w:val="both"/>
              <w:rPr>
                <w:rFonts w:ascii="Times New Roman" w:hAnsi="Times New Roman" w:cs="Times New Roman"/>
                <w:bCs/>
                <w:i/>
                <w:iCs/>
                <w:sz w:val="20"/>
                <w:szCs w:val="20"/>
                <w:lang w:val="fr-FR"/>
              </w:rPr>
            </w:pPr>
          </w:p>
          <w:p w14:paraId="32F7E922" w14:textId="0E65AF97" w:rsidR="004857FB" w:rsidRPr="0004134A" w:rsidRDefault="004857FB"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L'intérêt et l’engagement des partis politiques restent de mise à ce jour.</w:t>
            </w:r>
          </w:p>
        </w:tc>
        <w:tc>
          <w:tcPr>
            <w:tcW w:w="3391" w:type="dxa"/>
          </w:tcPr>
          <w:p w14:paraId="3A53C741" w14:textId="771E1399" w:rsidR="00790484" w:rsidRPr="0004134A" w:rsidRDefault="00790484"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 </w:t>
            </w:r>
            <w:r w:rsidR="004857FB" w:rsidRPr="0004134A">
              <w:rPr>
                <w:rFonts w:ascii="Times New Roman" w:hAnsi="Times New Roman" w:cs="Times New Roman"/>
                <w:bCs/>
                <w:sz w:val="20"/>
                <w:szCs w:val="20"/>
                <w:lang w:val="fr-FR"/>
              </w:rPr>
              <w:t xml:space="preserve">NIMD va continuer à maintenir un contact régulier et soutenu avec les leaders des partis politiques au niveau national et local en vue de maintenir la dynamique d’engagement et d’intérêt en faveur du projet.  </w:t>
            </w:r>
          </w:p>
        </w:tc>
      </w:tr>
      <w:tr w:rsidR="00E17887" w:rsidRPr="00911768" w14:paraId="46EED396" w14:textId="3B0FD9FC" w:rsidTr="00FE5808">
        <w:trPr>
          <w:trHeight w:val="572"/>
        </w:trPr>
        <w:tc>
          <w:tcPr>
            <w:tcW w:w="1594" w:type="dxa"/>
            <w:vMerge w:val="restart"/>
          </w:tcPr>
          <w:p w14:paraId="5DC0A991" w14:textId="36CC1147" w:rsidR="00552960" w:rsidRPr="0004134A" w:rsidRDefault="00552960" w:rsidP="00A959FF">
            <w:pPr>
              <w:pStyle w:val="ListParagraph"/>
              <w:spacing w:after="0"/>
              <w:ind w:left="0"/>
              <w:rPr>
                <w:rFonts w:ascii="Times New Roman" w:hAnsi="Times New Roman" w:cs="Times New Roman"/>
                <w:bCs/>
                <w:sz w:val="20"/>
                <w:szCs w:val="20"/>
                <w:lang w:val="fr-FR"/>
              </w:rPr>
            </w:pPr>
            <w:r w:rsidRPr="0004134A">
              <w:rPr>
                <w:rFonts w:ascii="Times New Roman" w:hAnsi="Times New Roman" w:cs="Times New Roman"/>
                <w:bCs/>
                <w:sz w:val="20"/>
                <w:szCs w:val="20"/>
                <w:lang w:val="fr-FR"/>
              </w:rPr>
              <w:t>Organisationnel</w:t>
            </w:r>
          </w:p>
        </w:tc>
        <w:tc>
          <w:tcPr>
            <w:tcW w:w="1809" w:type="dxa"/>
          </w:tcPr>
          <w:p w14:paraId="43361A2F" w14:textId="3C9ECE77"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Capacité de mise en œuvre insuffisante du/des partenaire(s)</w:t>
            </w:r>
          </w:p>
        </w:tc>
        <w:tc>
          <w:tcPr>
            <w:tcW w:w="3003" w:type="dxa"/>
          </w:tcPr>
          <w:p w14:paraId="7A047153"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 xml:space="preserve"> Moyenne à élevée</w:t>
            </w:r>
          </w:p>
          <w:p w14:paraId="0D97563E" w14:textId="1F578CFF"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 xml:space="preserve">Le(s) partenaire(s) local(aux) sera(ont) essentiel(s) pour mettre en œuvre (ou faciliter) la mise en œuvre de certaines parties du projet et nécessite(nt) donc des capacités techniques et organisationnelles suffisantes, dont l'absence aura un </w:t>
            </w:r>
            <w:r w:rsidRPr="0004134A">
              <w:rPr>
                <w:rFonts w:ascii="Times New Roman" w:hAnsi="Times New Roman" w:cs="Times New Roman"/>
                <w:sz w:val="20"/>
                <w:szCs w:val="20"/>
                <w:lang w:val="fr-FR"/>
              </w:rPr>
              <w:lastRenderedPageBreak/>
              <w:t xml:space="preserve">impact moyen à </w:t>
            </w:r>
            <w:proofErr w:type="spellStart"/>
            <w:r w:rsidRPr="0004134A">
              <w:rPr>
                <w:rFonts w:ascii="Times New Roman" w:hAnsi="Times New Roman" w:cs="Times New Roman"/>
                <w:sz w:val="20"/>
                <w:szCs w:val="20"/>
                <w:lang w:val="fr-FR"/>
              </w:rPr>
              <w:t>élevé</w:t>
            </w:r>
            <w:proofErr w:type="spellEnd"/>
            <w:r w:rsidRPr="0004134A">
              <w:rPr>
                <w:rFonts w:ascii="Times New Roman" w:hAnsi="Times New Roman" w:cs="Times New Roman"/>
                <w:sz w:val="20"/>
                <w:szCs w:val="20"/>
                <w:lang w:val="fr-FR"/>
              </w:rPr>
              <w:t xml:space="preserve"> sous la forme de résultats inférieurs à la norme ou d'une mise en œuvre infructueuse.</w:t>
            </w:r>
          </w:p>
        </w:tc>
        <w:tc>
          <w:tcPr>
            <w:tcW w:w="2545" w:type="dxa"/>
          </w:tcPr>
          <w:p w14:paraId="7CC8CDFA"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lastRenderedPageBreak/>
              <w:t>Faible à moyen</w:t>
            </w:r>
          </w:p>
          <w:p w14:paraId="253FF13D" w14:textId="77777777" w:rsidR="00552960" w:rsidRPr="0004134A" w:rsidRDefault="00552960" w:rsidP="00552960">
            <w:pPr>
              <w:rPr>
                <w:rFonts w:ascii="Times New Roman" w:hAnsi="Times New Roman" w:cs="Times New Roman"/>
                <w:sz w:val="20"/>
                <w:szCs w:val="20"/>
                <w:lang w:val="fr-FR"/>
              </w:rPr>
            </w:pPr>
            <w:r w:rsidRPr="0004134A">
              <w:rPr>
                <w:rFonts w:ascii="Times New Roman" w:hAnsi="Times New Roman" w:cs="Times New Roman"/>
                <w:sz w:val="20"/>
                <w:szCs w:val="20"/>
                <w:lang w:val="fr-FR"/>
              </w:rPr>
              <w:t>En partie grâce à :</w:t>
            </w:r>
          </w:p>
          <w:p w14:paraId="21168754" w14:textId="77777777" w:rsidR="00552960" w:rsidRPr="0004134A" w:rsidRDefault="00552960" w:rsidP="00552960">
            <w:pPr>
              <w:pStyle w:val="ListParagraph"/>
              <w:numPr>
                <w:ilvl w:val="0"/>
                <w:numId w:val="45"/>
              </w:numPr>
              <w:spacing w:after="0" w:line="240" w:lineRule="auto"/>
              <w:ind w:left="244" w:hanging="357"/>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La NIMD a établi une présence au Burundi, ce qui lui permet de suivre de près le travail des partenaires participants plutôt que de s'appuyer </w:t>
            </w:r>
            <w:r w:rsidRPr="0004134A">
              <w:rPr>
                <w:rFonts w:ascii="Times New Roman" w:hAnsi="Times New Roman" w:cs="Times New Roman"/>
                <w:sz w:val="20"/>
                <w:szCs w:val="20"/>
                <w:lang w:val="fr-FR"/>
              </w:rPr>
              <w:lastRenderedPageBreak/>
              <w:t xml:space="preserve">uniquement sur des rapports. </w:t>
            </w:r>
          </w:p>
          <w:p w14:paraId="3354942A" w14:textId="5EFF11F3" w:rsidR="00552960" w:rsidRPr="0004134A" w:rsidRDefault="00552960" w:rsidP="00FE5808">
            <w:pPr>
              <w:pStyle w:val="ListParagraph"/>
              <w:numPr>
                <w:ilvl w:val="0"/>
                <w:numId w:val="45"/>
              </w:numPr>
              <w:spacing w:after="0" w:line="240" w:lineRule="auto"/>
              <w:ind w:left="244" w:hanging="357"/>
              <w:rPr>
                <w:rFonts w:ascii="Times New Roman" w:hAnsi="Times New Roman" w:cs="Times New Roman"/>
                <w:sz w:val="20"/>
                <w:szCs w:val="20"/>
                <w:lang w:val="fr-FR"/>
              </w:rPr>
            </w:pPr>
            <w:r w:rsidRPr="0004134A">
              <w:rPr>
                <w:rFonts w:ascii="Times New Roman" w:hAnsi="Times New Roman" w:cs="Times New Roman"/>
                <w:sz w:val="20"/>
                <w:szCs w:val="20"/>
                <w:lang w:val="fr-FR"/>
              </w:rPr>
              <w:t>La NIMD donne également la priorité à son partenaire traditionnel, la BLTP, en tant que principal partenaire de mise en œuvre, tout en laissant la possibilité de faire appel à d'autres partenaires.</w:t>
            </w:r>
          </w:p>
        </w:tc>
        <w:tc>
          <w:tcPr>
            <w:tcW w:w="2968" w:type="dxa"/>
          </w:tcPr>
          <w:p w14:paraId="760B1BAD" w14:textId="30CE95FD" w:rsidR="004B63E9" w:rsidRPr="0004134A" w:rsidRDefault="004B63E9"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lastRenderedPageBreak/>
              <w:t>La probabilité du risque reste faible à moyen.</w:t>
            </w:r>
          </w:p>
          <w:p w14:paraId="42509B34" w14:textId="77777777" w:rsidR="004B63E9" w:rsidRPr="0004134A" w:rsidRDefault="004B63E9" w:rsidP="00552960">
            <w:pPr>
              <w:pStyle w:val="ListParagraph"/>
              <w:spacing w:after="0"/>
              <w:ind w:left="0"/>
              <w:jc w:val="both"/>
              <w:rPr>
                <w:rFonts w:ascii="Times New Roman" w:hAnsi="Times New Roman" w:cs="Times New Roman"/>
                <w:bCs/>
                <w:sz w:val="20"/>
                <w:szCs w:val="20"/>
                <w:lang w:val="fr-FR"/>
              </w:rPr>
            </w:pPr>
          </w:p>
          <w:p w14:paraId="6191DC04" w14:textId="2331A340" w:rsidR="00552960" w:rsidRPr="0004134A" w:rsidRDefault="00B46E4C"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Dans l’attente de son agrément, N</w:t>
            </w:r>
            <w:r w:rsidR="00D13382" w:rsidRPr="0004134A">
              <w:rPr>
                <w:rFonts w:ascii="Times New Roman" w:hAnsi="Times New Roman" w:cs="Times New Roman"/>
                <w:bCs/>
                <w:sz w:val="20"/>
                <w:szCs w:val="20"/>
                <w:lang w:val="fr-FR"/>
              </w:rPr>
              <w:t>I</w:t>
            </w:r>
            <w:r w:rsidRPr="0004134A">
              <w:rPr>
                <w:rFonts w:ascii="Times New Roman" w:hAnsi="Times New Roman" w:cs="Times New Roman"/>
                <w:bCs/>
                <w:sz w:val="20"/>
                <w:szCs w:val="20"/>
                <w:lang w:val="fr-FR"/>
              </w:rPr>
              <w:t>MD a adressé des TDRs aux organisations ciblées pour réaliser des activités rentrant dans leur domaine d’expertise.</w:t>
            </w:r>
          </w:p>
          <w:p w14:paraId="5F65B63E" w14:textId="77777777" w:rsidR="00B46E4C" w:rsidRPr="0004134A" w:rsidRDefault="00B46E4C" w:rsidP="00552960">
            <w:pPr>
              <w:pStyle w:val="ListParagraph"/>
              <w:spacing w:after="0"/>
              <w:ind w:left="0"/>
              <w:jc w:val="both"/>
              <w:rPr>
                <w:rFonts w:ascii="Times New Roman" w:hAnsi="Times New Roman" w:cs="Times New Roman"/>
                <w:bCs/>
                <w:sz w:val="20"/>
                <w:szCs w:val="20"/>
                <w:lang w:val="fr-FR"/>
              </w:rPr>
            </w:pPr>
          </w:p>
          <w:p w14:paraId="01D441D9" w14:textId="3F52B817" w:rsidR="00B46E4C" w:rsidRPr="0004134A" w:rsidRDefault="00B46E4C"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lastRenderedPageBreak/>
              <w:t>Les organisations qui ont montré des faiblesses ont bénéficié d’un accompagnement rapproché de NIMD pour renforcer leurs capacités.</w:t>
            </w:r>
          </w:p>
        </w:tc>
        <w:tc>
          <w:tcPr>
            <w:tcW w:w="3391" w:type="dxa"/>
          </w:tcPr>
          <w:p w14:paraId="0AEF2CEA" w14:textId="33E6BC08" w:rsidR="00790484" w:rsidRPr="0004134A" w:rsidRDefault="00790484" w:rsidP="00790484">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lastRenderedPageBreak/>
              <w:t>NIMD accompagne les partenaires dans la préparation de documents de qualité (note méthodologique, budget, rapports périodiques, etc.).</w:t>
            </w:r>
          </w:p>
          <w:p w14:paraId="35C84A49" w14:textId="5FD6A204" w:rsidR="00790484" w:rsidRPr="0004134A" w:rsidRDefault="00790484" w:rsidP="00790484">
            <w:pPr>
              <w:pStyle w:val="ListParagraph"/>
              <w:spacing w:after="0"/>
              <w:ind w:left="0"/>
              <w:jc w:val="both"/>
              <w:rPr>
                <w:rFonts w:ascii="Times New Roman" w:hAnsi="Times New Roman" w:cs="Times New Roman"/>
                <w:bCs/>
                <w:sz w:val="20"/>
                <w:szCs w:val="20"/>
                <w:lang w:val="fr-FR"/>
              </w:rPr>
            </w:pPr>
          </w:p>
          <w:p w14:paraId="481268F1" w14:textId="2C98036C" w:rsidR="00790484" w:rsidRPr="0004134A" w:rsidRDefault="00790484" w:rsidP="00790484">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L’accompagnement est également assuré à travers des contacts et des visites régulières, ainsi qu’une </w:t>
            </w:r>
            <w:r w:rsidRPr="0004134A">
              <w:rPr>
                <w:rFonts w:ascii="Times New Roman" w:hAnsi="Times New Roman" w:cs="Times New Roman"/>
                <w:bCs/>
                <w:sz w:val="20"/>
                <w:szCs w:val="20"/>
                <w:lang w:val="fr-FR"/>
              </w:rPr>
              <w:lastRenderedPageBreak/>
              <w:t>participation aux activités organisées par les partenaires.</w:t>
            </w:r>
          </w:p>
          <w:p w14:paraId="149AB53F" w14:textId="77777777" w:rsidR="00790484" w:rsidRPr="0004134A" w:rsidRDefault="00790484" w:rsidP="00790484">
            <w:pPr>
              <w:pStyle w:val="ListParagraph"/>
              <w:spacing w:after="0"/>
              <w:ind w:left="0"/>
              <w:jc w:val="both"/>
              <w:rPr>
                <w:rFonts w:ascii="Times New Roman" w:hAnsi="Times New Roman" w:cs="Times New Roman"/>
                <w:bCs/>
                <w:sz w:val="20"/>
                <w:szCs w:val="20"/>
                <w:lang w:val="fr-FR"/>
              </w:rPr>
            </w:pPr>
          </w:p>
          <w:p w14:paraId="6A2A7C6D" w14:textId="5EC81EA6" w:rsidR="00790484" w:rsidRPr="0004134A" w:rsidRDefault="00790484" w:rsidP="00790484">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NIMD a également instauré une réunion de coordination mensuelle où les partenaires se rencontrent pour échanger sur l’état de mise en œuvre et de planification des activités, ce qui constitue également un cadre de renforcement mutuel.</w:t>
            </w:r>
          </w:p>
        </w:tc>
      </w:tr>
      <w:tr w:rsidR="00E17887" w:rsidRPr="00911768" w14:paraId="153A8438" w14:textId="7AF4404E" w:rsidTr="00FE5808">
        <w:trPr>
          <w:trHeight w:val="583"/>
        </w:trPr>
        <w:tc>
          <w:tcPr>
            <w:tcW w:w="1594" w:type="dxa"/>
            <w:vMerge/>
          </w:tcPr>
          <w:p w14:paraId="3000830E" w14:textId="77777777" w:rsidR="00552960" w:rsidRPr="0004134A" w:rsidRDefault="00552960" w:rsidP="00A959FF">
            <w:pPr>
              <w:pStyle w:val="ListParagraph"/>
              <w:spacing w:after="0"/>
              <w:ind w:left="0"/>
              <w:rPr>
                <w:rFonts w:ascii="Times New Roman" w:hAnsi="Times New Roman" w:cs="Times New Roman"/>
                <w:bCs/>
                <w:sz w:val="20"/>
                <w:szCs w:val="20"/>
                <w:lang w:val="fr-FR"/>
              </w:rPr>
            </w:pPr>
          </w:p>
        </w:tc>
        <w:tc>
          <w:tcPr>
            <w:tcW w:w="1809" w:type="dxa"/>
          </w:tcPr>
          <w:p w14:paraId="1EB0898D" w14:textId="336373E9"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 xml:space="preserve">Rupture des relations entre les partenaires de mise en œuvre </w:t>
            </w:r>
          </w:p>
        </w:tc>
        <w:tc>
          <w:tcPr>
            <w:tcW w:w="3003" w:type="dxa"/>
          </w:tcPr>
          <w:p w14:paraId="0EAC6B3C"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 à moyen</w:t>
            </w:r>
          </w:p>
          <w:p w14:paraId="079A98AB" w14:textId="77777777" w:rsidR="00552960" w:rsidRPr="0004134A" w:rsidRDefault="00552960" w:rsidP="00552960">
            <w:pPr>
              <w:rPr>
                <w:rFonts w:ascii="Times New Roman" w:hAnsi="Times New Roman" w:cs="Times New Roman"/>
                <w:sz w:val="20"/>
                <w:szCs w:val="20"/>
                <w:lang w:val="fr-FR"/>
              </w:rPr>
            </w:pPr>
          </w:p>
          <w:p w14:paraId="7599BB6A" w14:textId="5F831B5E" w:rsidR="00552960" w:rsidRPr="0004134A" w:rsidRDefault="00552960" w:rsidP="00E17887">
            <w:pPr>
              <w:rPr>
                <w:rFonts w:ascii="Times New Roman" w:hAnsi="Times New Roman" w:cs="Times New Roman"/>
                <w:sz w:val="20"/>
                <w:szCs w:val="20"/>
                <w:lang w:val="fr-FR"/>
              </w:rPr>
            </w:pPr>
            <w:r w:rsidRPr="0004134A">
              <w:rPr>
                <w:rFonts w:ascii="Times New Roman" w:hAnsi="Times New Roman" w:cs="Times New Roman"/>
                <w:sz w:val="20"/>
                <w:szCs w:val="20"/>
                <w:lang w:val="fr-FR"/>
              </w:rPr>
              <w:t xml:space="preserve">La rupture des relations avec le partenaire traditionnel (BLTP) pourrait avoir un impact sur ses relations avec d'autres autorités gouvernementales, car BLTP est actuellement le principal intermédiaire entre la NIMD et les autorités burundaises. </w:t>
            </w:r>
          </w:p>
        </w:tc>
        <w:tc>
          <w:tcPr>
            <w:tcW w:w="2545" w:type="dxa"/>
          </w:tcPr>
          <w:p w14:paraId="2BBBD597" w14:textId="77777777" w:rsidR="00552960" w:rsidRPr="0004134A" w:rsidRDefault="00552960" w:rsidP="00552960">
            <w:pPr>
              <w:rPr>
                <w:rFonts w:ascii="Times New Roman" w:hAnsi="Times New Roman" w:cs="Times New Roman"/>
                <w:i/>
                <w:iCs/>
                <w:sz w:val="20"/>
                <w:szCs w:val="20"/>
                <w:lang w:val="fr-FR"/>
              </w:rPr>
            </w:pPr>
            <w:r w:rsidRPr="0004134A">
              <w:rPr>
                <w:rFonts w:ascii="Times New Roman" w:hAnsi="Times New Roman" w:cs="Times New Roman"/>
                <w:i/>
                <w:iCs/>
                <w:sz w:val="20"/>
                <w:szCs w:val="20"/>
                <w:lang w:val="fr-FR"/>
              </w:rPr>
              <w:t>Faible</w:t>
            </w:r>
          </w:p>
          <w:p w14:paraId="5FFDD3AD" w14:textId="77777777" w:rsidR="00552960" w:rsidRPr="0004134A" w:rsidRDefault="00552960" w:rsidP="00552960">
            <w:pPr>
              <w:rPr>
                <w:rFonts w:ascii="Times New Roman" w:hAnsi="Times New Roman" w:cs="Times New Roman"/>
                <w:i/>
                <w:iCs/>
                <w:sz w:val="20"/>
                <w:szCs w:val="20"/>
                <w:lang w:val="fr-FR"/>
              </w:rPr>
            </w:pPr>
          </w:p>
          <w:p w14:paraId="6FBF9D53" w14:textId="27AE7B2D" w:rsidR="00552960" w:rsidRPr="0004134A" w:rsidRDefault="00552960"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sz w:val="20"/>
                <w:szCs w:val="20"/>
                <w:lang w:val="fr-FR"/>
              </w:rPr>
              <w:t>Le NIMD entretient des relations solides avec ses partenaires locaux et tirera également parti de sa présence physique une fois le bureau installé pour entretenir des relations directes avec les autorités gouvernementales et d'autres partenaires locaux.</w:t>
            </w:r>
          </w:p>
        </w:tc>
        <w:tc>
          <w:tcPr>
            <w:tcW w:w="2968" w:type="dxa"/>
          </w:tcPr>
          <w:p w14:paraId="03EC0C04" w14:textId="55D8658C" w:rsidR="004B63E9" w:rsidRPr="0004134A" w:rsidRDefault="004B63E9" w:rsidP="00552960">
            <w:pPr>
              <w:pStyle w:val="ListParagraph"/>
              <w:spacing w:after="0"/>
              <w:ind w:left="0"/>
              <w:jc w:val="both"/>
              <w:rPr>
                <w:rFonts w:ascii="Times New Roman" w:hAnsi="Times New Roman" w:cs="Times New Roman"/>
                <w:bCs/>
                <w:i/>
                <w:iCs/>
                <w:sz w:val="20"/>
                <w:szCs w:val="20"/>
                <w:lang w:val="fr-FR"/>
              </w:rPr>
            </w:pPr>
            <w:r w:rsidRPr="0004134A">
              <w:rPr>
                <w:rFonts w:ascii="Times New Roman" w:hAnsi="Times New Roman" w:cs="Times New Roman"/>
                <w:bCs/>
                <w:i/>
                <w:iCs/>
                <w:sz w:val="20"/>
                <w:szCs w:val="20"/>
                <w:lang w:val="fr-FR"/>
              </w:rPr>
              <w:t>La probabilité du risque est passée de faible à moyen.</w:t>
            </w:r>
          </w:p>
          <w:p w14:paraId="35D4CEA0" w14:textId="77777777" w:rsidR="004B63E9" w:rsidRPr="0004134A" w:rsidRDefault="004B63E9" w:rsidP="00552960">
            <w:pPr>
              <w:pStyle w:val="ListParagraph"/>
              <w:spacing w:after="0"/>
              <w:ind w:left="0"/>
              <w:jc w:val="both"/>
              <w:rPr>
                <w:rFonts w:ascii="Times New Roman" w:hAnsi="Times New Roman" w:cs="Times New Roman"/>
                <w:bCs/>
                <w:sz w:val="20"/>
                <w:szCs w:val="20"/>
                <w:lang w:val="fr-FR"/>
              </w:rPr>
            </w:pPr>
          </w:p>
          <w:p w14:paraId="25B7BF81" w14:textId="1195AB2E" w:rsidR="00552960" w:rsidRPr="0004134A" w:rsidRDefault="00B446F7"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 xml:space="preserve">Ce risque s’est matérialisé avec les plaintes du BLTP auprès du ministère de l’intérieur que NIMD avait confié « ses activités » à d’autres organisations, amenant le ministère à </w:t>
            </w:r>
            <w:r w:rsidR="002F733C" w:rsidRPr="0004134A">
              <w:rPr>
                <w:rFonts w:ascii="Times New Roman" w:hAnsi="Times New Roman" w:cs="Times New Roman"/>
                <w:bCs/>
                <w:sz w:val="20"/>
                <w:szCs w:val="20"/>
                <w:lang w:val="fr-FR"/>
              </w:rPr>
              <w:t xml:space="preserve">ne pas accorder les autorisations demandées par ces dernières pour réaliser les activités planifiées dans les délais prévus. </w:t>
            </w:r>
          </w:p>
        </w:tc>
        <w:tc>
          <w:tcPr>
            <w:tcW w:w="3391" w:type="dxa"/>
          </w:tcPr>
          <w:p w14:paraId="0753E0F5" w14:textId="625313D5" w:rsidR="00552960" w:rsidRPr="0004134A" w:rsidRDefault="002F733C" w:rsidP="00552960">
            <w:pPr>
              <w:pStyle w:val="ListParagraph"/>
              <w:spacing w:after="0"/>
              <w:ind w:left="0"/>
              <w:jc w:val="both"/>
              <w:rPr>
                <w:rFonts w:ascii="Times New Roman" w:hAnsi="Times New Roman" w:cs="Times New Roman"/>
                <w:bCs/>
                <w:sz w:val="20"/>
                <w:szCs w:val="20"/>
                <w:lang w:val="fr-FR"/>
              </w:rPr>
            </w:pPr>
            <w:r w:rsidRPr="0004134A">
              <w:rPr>
                <w:rFonts w:ascii="Times New Roman" w:hAnsi="Times New Roman" w:cs="Times New Roman"/>
                <w:bCs/>
                <w:sz w:val="20"/>
                <w:szCs w:val="20"/>
                <w:lang w:val="fr-FR"/>
              </w:rPr>
              <w:t>L’organisation de plusieurs séances entre NIMD et BLTP</w:t>
            </w:r>
            <w:r w:rsidR="00197C2F" w:rsidRPr="0004134A">
              <w:rPr>
                <w:rFonts w:ascii="Times New Roman" w:hAnsi="Times New Roman" w:cs="Times New Roman"/>
                <w:bCs/>
                <w:sz w:val="20"/>
                <w:szCs w:val="20"/>
                <w:lang w:val="fr-FR"/>
              </w:rPr>
              <w:t xml:space="preserve"> et</w:t>
            </w:r>
            <w:r w:rsidRPr="0004134A">
              <w:rPr>
                <w:rFonts w:ascii="Times New Roman" w:hAnsi="Times New Roman" w:cs="Times New Roman"/>
                <w:bCs/>
                <w:sz w:val="20"/>
                <w:szCs w:val="20"/>
                <w:lang w:val="fr-FR"/>
              </w:rPr>
              <w:t xml:space="preserve"> les interventions du directeur-pays et des organisations partenaires ont permis de décanter la situation. Les autorisations ont été accordées aux </w:t>
            </w:r>
            <w:r w:rsidR="00197C2F" w:rsidRPr="0004134A">
              <w:rPr>
                <w:rFonts w:ascii="Times New Roman" w:hAnsi="Times New Roman" w:cs="Times New Roman"/>
                <w:bCs/>
                <w:sz w:val="20"/>
                <w:szCs w:val="20"/>
                <w:lang w:val="fr-FR"/>
              </w:rPr>
              <w:t>prestataires</w:t>
            </w:r>
            <w:r w:rsidRPr="0004134A">
              <w:rPr>
                <w:rFonts w:ascii="Times New Roman" w:hAnsi="Times New Roman" w:cs="Times New Roman"/>
                <w:bCs/>
                <w:sz w:val="20"/>
                <w:szCs w:val="20"/>
                <w:lang w:val="fr-FR"/>
              </w:rPr>
              <w:t xml:space="preserve"> de services et le BLTP a accepté de répondre aux TDRs </w:t>
            </w:r>
            <w:r w:rsidR="00197C2F" w:rsidRPr="0004134A">
              <w:rPr>
                <w:rFonts w:ascii="Times New Roman" w:hAnsi="Times New Roman" w:cs="Times New Roman"/>
                <w:bCs/>
                <w:sz w:val="20"/>
                <w:szCs w:val="20"/>
                <w:lang w:val="fr-FR"/>
              </w:rPr>
              <w:t xml:space="preserve">des activités </w:t>
            </w:r>
            <w:r w:rsidRPr="0004134A">
              <w:rPr>
                <w:rFonts w:ascii="Times New Roman" w:hAnsi="Times New Roman" w:cs="Times New Roman"/>
                <w:bCs/>
                <w:sz w:val="20"/>
                <w:szCs w:val="20"/>
                <w:lang w:val="fr-FR"/>
              </w:rPr>
              <w:t>qui lui ont été soumis</w:t>
            </w:r>
            <w:r w:rsidR="00197C2F" w:rsidRPr="0004134A">
              <w:rPr>
                <w:rFonts w:ascii="Times New Roman" w:hAnsi="Times New Roman" w:cs="Times New Roman"/>
                <w:bCs/>
                <w:sz w:val="20"/>
                <w:szCs w:val="20"/>
                <w:lang w:val="fr-FR"/>
              </w:rPr>
              <w:t>es.</w:t>
            </w:r>
            <w:r w:rsidRPr="0004134A">
              <w:rPr>
                <w:rFonts w:ascii="Times New Roman" w:hAnsi="Times New Roman" w:cs="Times New Roman"/>
                <w:bCs/>
                <w:sz w:val="20"/>
                <w:szCs w:val="20"/>
                <w:lang w:val="fr-FR"/>
              </w:rPr>
              <w:t xml:space="preserve"> </w:t>
            </w:r>
          </w:p>
        </w:tc>
      </w:tr>
    </w:tbl>
    <w:p w14:paraId="43BDCB47" w14:textId="77777777" w:rsidR="00E17887" w:rsidRPr="0004134A" w:rsidRDefault="00C90895" w:rsidP="00E17887">
      <w:pPr>
        <w:pStyle w:val="ListParagraph"/>
        <w:spacing w:after="0"/>
        <w:jc w:val="both"/>
        <w:rPr>
          <w:rFonts w:ascii="Times New Roman" w:hAnsi="Times New Roman" w:cs="Times New Roman"/>
          <w:bCs/>
          <w:sz w:val="24"/>
          <w:szCs w:val="24"/>
          <w:lang w:val="fr-FR"/>
        </w:rPr>
        <w:sectPr w:rsidR="00E17887" w:rsidRPr="0004134A" w:rsidSect="00F24F53">
          <w:pgSz w:w="15840" w:h="12240" w:orient="landscape"/>
          <w:pgMar w:top="720" w:right="720" w:bottom="720" w:left="624" w:header="720" w:footer="720" w:gutter="0"/>
          <w:cols w:space="720"/>
          <w:docGrid w:linePitch="360"/>
        </w:sectPr>
      </w:pPr>
      <w:r w:rsidRPr="0004134A">
        <w:rPr>
          <w:rFonts w:ascii="Times New Roman" w:hAnsi="Times New Roman" w:cs="Times New Roman"/>
          <w:bCs/>
          <w:sz w:val="24"/>
          <w:szCs w:val="24"/>
          <w:lang w:val="fr-FR"/>
        </w:rPr>
        <w:t xml:space="preserve"> </w:t>
      </w:r>
    </w:p>
    <w:p w14:paraId="0529AFFD" w14:textId="5DE6004F" w:rsidR="00677F48" w:rsidRPr="0004134A" w:rsidRDefault="00677F48" w:rsidP="00C13A3F">
      <w:pPr>
        <w:pStyle w:val="ListParagraph"/>
        <w:numPr>
          <w:ilvl w:val="0"/>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lastRenderedPageBreak/>
        <w:t>Prochaines étapes</w:t>
      </w:r>
      <w:r w:rsidR="005C28A4" w:rsidRPr="0004134A">
        <w:rPr>
          <w:rFonts w:ascii="Times New Roman" w:hAnsi="Times New Roman" w:cs="Times New Roman"/>
          <w:b/>
          <w:sz w:val="24"/>
          <w:szCs w:val="24"/>
          <w:lang w:val="fr-FR"/>
        </w:rPr>
        <w:t xml:space="preserve"> </w:t>
      </w:r>
    </w:p>
    <w:p w14:paraId="3DBE6E7F" w14:textId="77777777" w:rsidR="00DC1081" w:rsidRPr="0004134A" w:rsidRDefault="00DC1081" w:rsidP="00DC1081">
      <w:pPr>
        <w:spacing w:after="0"/>
        <w:ind w:left="708"/>
        <w:jc w:val="both"/>
        <w:rPr>
          <w:rFonts w:ascii="Times New Roman" w:hAnsi="Times New Roman" w:cs="Times New Roman"/>
          <w:bCs/>
          <w:sz w:val="24"/>
          <w:szCs w:val="24"/>
          <w:lang w:val="fr-FR"/>
        </w:rPr>
      </w:pPr>
    </w:p>
    <w:p w14:paraId="07AA2104" w14:textId="5ACEB172" w:rsidR="00A67EA3" w:rsidRPr="0004134A" w:rsidRDefault="004C664B" w:rsidP="004C664B">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Au moment de la rédaction du présent rapport, une étape cruciale dans le processus d'agrément du NIMD a été franchie, avec la signature de la convention générale de coopération entre le gouvernement du Burundi représenté par le Ministère des Affaires Etrangères et le NIMD. Cette convention de coopération facilite la signature entre le NIMD et le Ministère de l'Intérieur d'un protocole d'exécution, qui complète le processus d'enregistrement du NIMD. Cette dernière phase du processus est en cours et les deux parties discutent actuellement des contours du protocole.</w:t>
      </w:r>
      <w:r w:rsidR="00DC1081" w:rsidRPr="0004134A">
        <w:rPr>
          <w:rFonts w:ascii="Times New Roman" w:hAnsi="Times New Roman" w:cs="Times New Roman"/>
          <w:bCs/>
          <w:sz w:val="24"/>
          <w:szCs w:val="24"/>
          <w:lang w:val="fr-FR"/>
        </w:rPr>
        <w:t xml:space="preserve"> Cela permettra à l’équipe-pays d’être opérationnel et de démarrer véritablement les activités, </w:t>
      </w:r>
      <w:r w:rsidRPr="0004134A">
        <w:rPr>
          <w:rFonts w:ascii="Times New Roman" w:hAnsi="Times New Roman" w:cs="Times New Roman"/>
          <w:bCs/>
          <w:sz w:val="24"/>
          <w:szCs w:val="24"/>
          <w:lang w:val="fr-FR"/>
        </w:rPr>
        <w:t>mais</w:t>
      </w:r>
      <w:r w:rsidR="00A67EA3" w:rsidRPr="0004134A">
        <w:rPr>
          <w:rFonts w:ascii="Times New Roman" w:hAnsi="Times New Roman" w:cs="Times New Roman"/>
          <w:bCs/>
          <w:sz w:val="24"/>
          <w:szCs w:val="24"/>
          <w:lang w:val="fr-FR"/>
        </w:rPr>
        <w:t xml:space="preserve"> également </w:t>
      </w:r>
      <w:r w:rsidRPr="0004134A">
        <w:rPr>
          <w:rFonts w:ascii="Times New Roman" w:hAnsi="Times New Roman" w:cs="Times New Roman"/>
          <w:bCs/>
          <w:sz w:val="24"/>
          <w:szCs w:val="24"/>
          <w:lang w:val="fr-FR"/>
        </w:rPr>
        <w:t>d’accéder</w:t>
      </w:r>
      <w:r w:rsidR="00A67EA3" w:rsidRPr="0004134A">
        <w:rPr>
          <w:rFonts w:ascii="Times New Roman" w:hAnsi="Times New Roman" w:cs="Times New Roman"/>
          <w:bCs/>
          <w:sz w:val="24"/>
          <w:szCs w:val="24"/>
          <w:lang w:val="fr-FR"/>
        </w:rPr>
        <w:t xml:space="preserve"> à de nouvelles opportunités de financements, à commencer </w:t>
      </w:r>
      <w:r w:rsidR="00A4092B" w:rsidRPr="0004134A">
        <w:rPr>
          <w:rFonts w:ascii="Times New Roman" w:hAnsi="Times New Roman" w:cs="Times New Roman"/>
          <w:bCs/>
          <w:sz w:val="24"/>
          <w:szCs w:val="24"/>
          <w:lang w:val="fr-FR"/>
        </w:rPr>
        <w:t xml:space="preserve">par </w:t>
      </w:r>
      <w:r w:rsidR="00A67EA3" w:rsidRPr="0004134A">
        <w:rPr>
          <w:rFonts w:ascii="Times New Roman" w:hAnsi="Times New Roman" w:cs="Times New Roman"/>
          <w:bCs/>
          <w:sz w:val="24"/>
          <w:szCs w:val="24"/>
          <w:lang w:val="fr-FR"/>
        </w:rPr>
        <w:t xml:space="preserve">celle de l’Union Européenne </w:t>
      </w:r>
      <w:r w:rsidRPr="0004134A">
        <w:rPr>
          <w:rFonts w:ascii="Times New Roman" w:hAnsi="Times New Roman" w:cs="Times New Roman"/>
          <w:bCs/>
          <w:sz w:val="24"/>
          <w:szCs w:val="24"/>
          <w:lang w:val="fr-FR"/>
        </w:rPr>
        <w:t xml:space="preserve">qui était </w:t>
      </w:r>
      <w:r w:rsidR="00A67EA3" w:rsidRPr="0004134A">
        <w:rPr>
          <w:rFonts w:ascii="Times New Roman" w:hAnsi="Times New Roman" w:cs="Times New Roman"/>
          <w:bCs/>
          <w:sz w:val="24"/>
          <w:szCs w:val="24"/>
          <w:lang w:val="fr-FR"/>
        </w:rPr>
        <w:t>en suspens jusque-là, faute d’agrément.</w:t>
      </w:r>
    </w:p>
    <w:p w14:paraId="1AAC1651" w14:textId="610DCF8E" w:rsidR="00E938DC" w:rsidRPr="0004134A" w:rsidRDefault="00E938DC" w:rsidP="00DC1081">
      <w:pPr>
        <w:spacing w:after="0"/>
        <w:ind w:left="708"/>
        <w:jc w:val="both"/>
        <w:rPr>
          <w:rFonts w:ascii="Times New Roman" w:hAnsi="Times New Roman" w:cs="Times New Roman"/>
          <w:bCs/>
          <w:sz w:val="24"/>
          <w:szCs w:val="24"/>
          <w:lang w:val="fr-FR"/>
        </w:rPr>
      </w:pPr>
    </w:p>
    <w:p w14:paraId="5539619E" w14:textId="0A550D96" w:rsidR="00B30D2E" w:rsidRPr="0004134A" w:rsidRDefault="00602D04" w:rsidP="00602D04">
      <w:pPr>
        <w:spacing w:after="0"/>
        <w:ind w:left="70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 xml:space="preserve">Pour l’année 2024 qui précède l’année électorale au Burundi, les activités prévues </w:t>
      </w:r>
      <w:r w:rsidR="00EA2EA2" w:rsidRPr="0004134A">
        <w:rPr>
          <w:rFonts w:ascii="Times New Roman" w:hAnsi="Times New Roman" w:cs="Times New Roman"/>
          <w:bCs/>
          <w:sz w:val="24"/>
          <w:szCs w:val="24"/>
          <w:lang w:val="fr-FR"/>
        </w:rPr>
        <w:t xml:space="preserve">telles que revues et approuvées par le ministère de l’intérieur, du développement communautaire et de la sécurité publique </w:t>
      </w:r>
      <w:r w:rsidRPr="0004134A">
        <w:rPr>
          <w:rFonts w:ascii="Times New Roman" w:hAnsi="Times New Roman" w:cs="Times New Roman"/>
          <w:bCs/>
          <w:sz w:val="24"/>
          <w:szCs w:val="24"/>
          <w:lang w:val="fr-FR"/>
        </w:rPr>
        <w:t>sont reprises dans le tableau ci-après :</w:t>
      </w:r>
    </w:p>
    <w:p w14:paraId="709A7A22" w14:textId="50D9D719" w:rsidR="00602D04" w:rsidRPr="0004134A" w:rsidRDefault="00602D04" w:rsidP="00602D04">
      <w:pPr>
        <w:spacing w:after="0"/>
        <w:ind w:left="708"/>
        <w:jc w:val="both"/>
        <w:rPr>
          <w:rFonts w:ascii="Times New Roman" w:hAnsi="Times New Roman" w:cs="Times New Roman"/>
          <w:b/>
          <w:sz w:val="24"/>
          <w:szCs w:val="24"/>
          <w:lang w:val="fr-FR"/>
        </w:rPr>
      </w:pPr>
    </w:p>
    <w:p w14:paraId="501DCA79" w14:textId="21ED6F7B" w:rsidR="00602D04" w:rsidRPr="0004134A" w:rsidRDefault="00602D04" w:rsidP="00602D04">
      <w:pPr>
        <w:spacing w:after="0"/>
        <w:ind w:left="708"/>
        <w:jc w:val="both"/>
        <w:rPr>
          <w:rFonts w:ascii="Times New Roman" w:hAnsi="Times New Roman" w:cs="Times New Roman"/>
          <w:b/>
          <w:sz w:val="24"/>
          <w:szCs w:val="24"/>
          <w:lang w:val="fr-FR"/>
        </w:rPr>
      </w:pPr>
    </w:p>
    <w:p w14:paraId="2C76EB1B" w14:textId="77777777" w:rsidR="00602D04" w:rsidRPr="0004134A" w:rsidRDefault="00602D04" w:rsidP="00602D04">
      <w:pPr>
        <w:spacing w:after="0"/>
        <w:ind w:left="708"/>
        <w:jc w:val="both"/>
        <w:rPr>
          <w:rFonts w:ascii="Times New Roman" w:hAnsi="Times New Roman" w:cs="Times New Roman"/>
          <w:b/>
          <w:sz w:val="24"/>
          <w:szCs w:val="24"/>
          <w:lang w:val="fr-FR"/>
        </w:rPr>
      </w:pPr>
    </w:p>
    <w:p w14:paraId="79A362D0" w14:textId="4A19DA6B" w:rsidR="00EA2EA2" w:rsidRPr="0004134A" w:rsidRDefault="00EA2EA2" w:rsidP="00602D04">
      <w:pPr>
        <w:spacing w:after="0"/>
        <w:ind w:left="708"/>
        <w:jc w:val="both"/>
        <w:rPr>
          <w:rFonts w:ascii="Times New Roman" w:hAnsi="Times New Roman" w:cs="Times New Roman"/>
          <w:b/>
          <w:sz w:val="24"/>
          <w:szCs w:val="24"/>
          <w:lang w:val="fr-FR"/>
        </w:rPr>
      </w:pPr>
    </w:p>
    <w:p w14:paraId="4928F033" w14:textId="4293AA2C" w:rsidR="00EA2EA2" w:rsidRPr="0004134A" w:rsidRDefault="00EA2EA2" w:rsidP="00602D04">
      <w:pPr>
        <w:spacing w:after="0"/>
        <w:ind w:left="708"/>
        <w:jc w:val="both"/>
        <w:rPr>
          <w:rFonts w:ascii="Times New Roman" w:hAnsi="Times New Roman" w:cs="Times New Roman"/>
          <w:b/>
          <w:sz w:val="24"/>
          <w:szCs w:val="24"/>
          <w:lang w:val="fr-FR"/>
        </w:rPr>
      </w:pPr>
    </w:p>
    <w:p w14:paraId="35F42510" w14:textId="723EB0CC" w:rsidR="00EA2EA2" w:rsidRPr="0004134A" w:rsidRDefault="00EA2EA2" w:rsidP="00602D04">
      <w:pPr>
        <w:spacing w:after="0"/>
        <w:ind w:left="708"/>
        <w:jc w:val="both"/>
        <w:rPr>
          <w:rFonts w:ascii="Times New Roman" w:hAnsi="Times New Roman" w:cs="Times New Roman"/>
          <w:b/>
          <w:sz w:val="24"/>
          <w:szCs w:val="24"/>
          <w:lang w:val="fr-FR"/>
        </w:rPr>
      </w:pPr>
    </w:p>
    <w:p w14:paraId="6A118814" w14:textId="3D9E5EC7" w:rsidR="00EA2EA2" w:rsidRPr="0004134A" w:rsidRDefault="00EA2EA2" w:rsidP="00602D04">
      <w:pPr>
        <w:spacing w:after="0"/>
        <w:ind w:left="708"/>
        <w:jc w:val="both"/>
        <w:rPr>
          <w:rFonts w:ascii="Times New Roman" w:hAnsi="Times New Roman" w:cs="Times New Roman"/>
          <w:b/>
          <w:sz w:val="24"/>
          <w:szCs w:val="24"/>
          <w:lang w:val="fr-FR"/>
        </w:rPr>
      </w:pPr>
    </w:p>
    <w:p w14:paraId="7FA6C744" w14:textId="3C3766C7" w:rsidR="00EA2EA2" w:rsidRPr="0004134A" w:rsidRDefault="00EA2EA2" w:rsidP="00602D04">
      <w:pPr>
        <w:spacing w:after="0"/>
        <w:ind w:left="708"/>
        <w:jc w:val="both"/>
        <w:rPr>
          <w:rFonts w:ascii="Times New Roman" w:hAnsi="Times New Roman" w:cs="Times New Roman"/>
          <w:b/>
          <w:sz w:val="24"/>
          <w:szCs w:val="24"/>
          <w:lang w:val="fr-FR"/>
        </w:rPr>
      </w:pPr>
    </w:p>
    <w:p w14:paraId="346EA980" w14:textId="146958BD" w:rsidR="00EA2EA2" w:rsidRPr="0004134A" w:rsidRDefault="00EA2EA2" w:rsidP="00602D04">
      <w:pPr>
        <w:spacing w:after="0"/>
        <w:ind w:left="708"/>
        <w:jc w:val="both"/>
        <w:rPr>
          <w:rFonts w:ascii="Times New Roman" w:hAnsi="Times New Roman" w:cs="Times New Roman"/>
          <w:b/>
          <w:sz w:val="24"/>
          <w:szCs w:val="24"/>
          <w:lang w:val="fr-FR"/>
        </w:rPr>
      </w:pPr>
    </w:p>
    <w:p w14:paraId="287DF7D8" w14:textId="0399E141" w:rsidR="00EA2EA2" w:rsidRPr="0004134A" w:rsidRDefault="00EA2EA2" w:rsidP="00602D04">
      <w:pPr>
        <w:spacing w:after="0"/>
        <w:ind w:left="708"/>
        <w:jc w:val="both"/>
        <w:rPr>
          <w:rFonts w:ascii="Times New Roman" w:hAnsi="Times New Roman" w:cs="Times New Roman"/>
          <w:b/>
          <w:sz w:val="24"/>
          <w:szCs w:val="24"/>
          <w:lang w:val="fr-FR"/>
        </w:rPr>
      </w:pPr>
    </w:p>
    <w:p w14:paraId="41632E8A" w14:textId="14FD3941" w:rsidR="00EA2EA2" w:rsidRPr="0004134A" w:rsidRDefault="00EA2EA2" w:rsidP="00602D04">
      <w:pPr>
        <w:spacing w:after="0"/>
        <w:ind w:left="708"/>
        <w:jc w:val="both"/>
        <w:rPr>
          <w:rFonts w:ascii="Times New Roman" w:hAnsi="Times New Roman" w:cs="Times New Roman"/>
          <w:b/>
          <w:sz w:val="24"/>
          <w:szCs w:val="24"/>
          <w:lang w:val="fr-FR"/>
        </w:rPr>
      </w:pPr>
    </w:p>
    <w:p w14:paraId="518A3347" w14:textId="3DDDFB44" w:rsidR="00EA2EA2" w:rsidRPr="0004134A" w:rsidRDefault="00EA2EA2" w:rsidP="00602D04">
      <w:pPr>
        <w:spacing w:after="0"/>
        <w:ind w:left="708"/>
        <w:jc w:val="both"/>
        <w:rPr>
          <w:rFonts w:ascii="Times New Roman" w:hAnsi="Times New Roman" w:cs="Times New Roman"/>
          <w:b/>
          <w:sz w:val="24"/>
          <w:szCs w:val="24"/>
          <w:lang w:val="fr-FR"/>
        </w:rPr>
      </w:pPr>
    </w:p>
    <w:p w14:paraId="07FD3CB1" w14:textId="190E15BD" w:rsidR="00EA2EA2" w:rsidRPr="0004134A" w:rsidRDefault="00EA2EA2" w:rsidP="00602D04">
      <w:pPr>
        <w:spacing w:after="0"/>
        <w:ind w:left="708"/>
        <w:jc w:val="both"/>
        <w:rPr>
          <w:rFonts w:ascii="Times New Roman" w:hAnsi="Times New Roman" w:cs="Times New Roman"/>
          <w:b/>
          <w:sz w:val="24"/>
          <w:szCs w:val="24"/>
          <w:lang w:val="fr-FR"/>
        </w:rPr>
      </w:pPr>
    </w:p>
    <w:p w14:paraId="4C64B96B" w14:textId="4F2A1BD5" w:rsidR="00EA2EA2" w:rsidRPr="0004134A" w:rsidRDefault="00EA2EA2" w:rsidP="00602D04">
      <w:pPr>
        <w:spacing w:after="0"/>
        <w:ind w:left="708"/>
        <w:jc w:val="both"/>
        <w:rPr>
          <w:rFonts w:ascii="Times New Roman" w:hAnsi="Times New Roman" w:cs="Times New Roman"/>
          <w:b/>
          <w:sz w:val="24"/>
          <w:szCs w:val="24"/>
          <w:lang w:val="fr-FR"/>
        </w:rPr>
      </w:pPr>
    </w:p>
    <w:p w14:paraId="1D7A8BAE" w14:textId="77777777" w:rsidR="00EA2EA2" w:rsidRPr="0004134A" w:rsidRDefault="00EA2EA2" w:rsidP="00602D04">
      <w:pPr>
        <w:spacing w:after="0"/>
        <w:ind w:left="708"/>
        <w:jc w:val="both"/>
        <w:rPr>
          <w:rFonts w:ascii="Times New Roman" w:hAnsi="Times New Roman" w:cs="Times New Roman"/>
          <w:b/>
          <w:sz w:val="24"/>
          <w:szCs w:val="24"/>
          <w:lang w:val="fr-FR"/>
        </w:rPr>
      </w:pPr>
    </w:p>
    <w:p w14:paraId="46E665C6" w14:textId="77777777" w:rsidR="00EA2EA2" w:rsidRPr="0004134A" w:rsidRDefault="00EA2EA2" w:rsidP="00602D04">
      <w:pPr>
        <w:spacing w:after="0"/>
        <w:ind w:left="708"/>
        <w:jc w:val="both"/>
        <w:rPr>
          <w:rFonts w:ascii="Times New Roman" w:hAnsi="Times New Roman" w:cs="Times New Roman"/>
          <w:b/>
          <w:sz w:val="24"/>
          <w:szCs w:val="24"/>
          <w:lang w:val="fr-FR"/>
        </w:rPr>
      </w:pPr>
    </w:p>
    <w:p w14:paraId="6A7FF654" w14:textId="77777777" w:rsidR="00EA2EA2" w:rsidRPr="0004134A" w:rsidRDefault="00EA2EA2" w:rsidP="00602D04">
      <w:pPr>
        <w:spacing w:after="0"/>
        <w:ind w:left="708"/>
        <w:jc w:val="both"/>
        <w:rPr>
          <w:rFonts w:ascii="Times New Roman" w:hAnsi="Times New Roman" w:cs="Times New Roman"/>
          <w:b/>
          <w:sz w:val="24"/>
          <w:szCs w:val="24"/>
          <w:lang w:val="fr-FR"/>
        </w:rPr>
      </w:pPr>
    </w:p>
    <w:p w14:paraId="726BE4F7" w14:textId="0FDB48AE" w:rsidR="00EA2EA2" w:rsidRPr="0004134A" w:rsidRDefault="00EA2EA2" w:rsidP="00602D04">
      <w:pPr>
        <w:spacing w:after="0"/>
        <w:ind w:left="708"/>
        <w:jc w:val="both"/>
        <w:rPr>
          <w:rFonts w:ascii="Times New Roman" w:hAnsi="Times New Roman" w:cs="Times New Roman"/>
          <w:b/>
          <w:sz w:val="24"/>
          <w:szCs w:val="24"/>
          <w:lang w:val="fr-FR"/>
        </w:rPr>
        <w:sectPr w:rsidR="00EA2EA2" w:rsidRPr="0004134A" w:rsidSect="00C90895">
          <w:pgSz w:w="12240" w:h="15840"/>
          <w:pgMar w:top="720" w:right="720" w:bottom="720" w:left="720" w:header="720" w:footer="720" w:gutter="0"/>
          <w:cols w:space="720"/>
          <w:docGrid w:linePitch="360"/>
        </w:sectPr>
      </w:pP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115"/>
        <w:gridCol w:w="4610"/>
        <w:gridCol w:w="417"/>
        <w:gridCol w:w="326"/>
        <w:gridCol w:w="386"/>
        <w:gridCol w:w="346"/>
        <w:gridCol w:w="386"/>
        <w:gridCol w:w="306"/>
        <w:gridCol w:w="306"/>
        <w:gridCol w:w="346"/>
        <w:gridCol w:w="317"/>
        <w:gridCol w:w="357"/>
        <w:gridCol w:w="346"/>
        <w:gridCol w:w="346"/>
        <w:gridCol w:w="1236"/>
        <w:gridCol w:w="954"/>
      </w:tblGrid>
      <w:tr w:rsidR="00A3274A" w:rsidRPr="00EF5BD0" w14:paraId="5E1DCDBA" w14:textId="77777777" w:rsidTr="00A3274A">
        <w:trPr>
          <w:trHeight w:val="288"/>
        </w:trPr>
        <w:tc>
          <w:tcPr>
            <w:tcW w:w="15017" w:type="dxa"/>
            <w:gridSpan w:val="17"/>
            <w:shd w:val="clear" w:color="auto" w:fill="auto"/>
            <w:noWrap/>
            <w:hideMark/>
          </w:tcPr>
          <w:p w14:paraId="4C0E5D4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lastRenderedPageBreak/>
              <w:t>Planification FIPP 2024</w:t>
            </w:r>
          </w:p>
        </w:tc>
      </w:tr>
      <w:tr w:rsidR="00A3274A" w:rsidRPr="00EF5BD0" w14:paraId="4B61E48D" w14:textId="77777777" w:rsidTr="00A3274A">
        <w:trPr>
          <w:trHeight w:val="264"/>
        </w:trPr>
        <w:tc>
          <w:tcPr>
            <w:tcW w:w="1917" w:type="dxa"/>
            <w:vMerge w:val="restart"/>
            <w:shd w:val="clear" w:color="000000" w:fill="C6E0B4"/>
            <w:noWrap/>
            <w:hideMark/>
          </w:tcPr>
          <w:p w14:paraId="386A3D5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Résultats intermédiaires</w:t>
            </w:r>
          </w:p>
        </w:tc>
        <w:tc>
          <w:tcPr>
            <w:tcW w:w="6725" w:type="dxa"/>
            <w:gridSpan w:val="2"/>
            <w:vMerge w:val="restart"/>
            <w:shd w:val="clear" w:color="000000" w:fill="C6E0B4"/>
            <w:noWrap/>
            <w:hideMark/>
          </w:tcPr>
          <w:p w14:paraId="5EC064E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Activités</w:t>
            </w:r>
          </w:p>
        </w:tc>
        <w:tc>
          <w:tcPr>
            <w:tcW w:w="4185" w:type="dxa"/>
            <w:gridSpan w:val="12"/>
            <w:shd w:val="clear" w:color="000000" w:fill="C6E0B4"/>
            <w:noWrap/>
            <w:vAlign w:val="bottom"/>
            <w:hideMark/>
          </w:tcPr>
          <w:p w14:paraId="15ED0A5B"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Chronogramme</w:t>
            </w:r>
          </w:p>
        </w:tc>
        <w:tc>
          <w:tcPr>
            <w:tcW w:w="1236" w:type="dxa"/>
            <w:vMerge w:val="restart"/>
            <w:shd w:val="clear" w:color="000000" w:fill="C6E0B4"/>
            <w:vAlign w:val="center"/>
            <w:hideMark/>
          </w:tcPr>
          <w:p w14:paraId="41B2FD4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Partenaire</w:t>
            </w:r>
          </w:p>
        </w:tc>
        <w:tc>
          <w:tcPr>
            <w:tcW w:w="954" w:type="dxa"/>
            <w:vMerge w:val="restart"/>
            <w:shd w:val="clear" w:color="000000" w:fill="C6E0B4"/>
            <w:vAlign w:val="center"/>
            <w:hideMark/>
          </w:tcPr>
          <w:p w14:paraId="0AAA894C"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Budget 2024 </w:t>
            </w:r>
          </w:p>
        </w:tc>
      </w:tr>
      <w:tr w:rsidR="00A3274A" w:rsidRPr="00EF5BD0" w14:paraId="3ECA37D9" w14:textId="77777777" w:rsidTr="00A3274A">
        <w:trPr>
          <w:trHeight w:val="288"/>
        </w:trPr>
        <w:tc>
          <w:tcPr>
            <w:tcW w:w="1917" w:type="dxa"/>
            <w:vMerge/>
            <w:vAlign w:val="center"/>
            <w:hideMark/>
          </w:tcPr>
          <w:p w14:paraId="0589DB0E"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6725" w:type="dxa"/>
            <w:gridSpan w:val="2"/>
            <w:vMerge/>
            <w:vAlign w:val="center"/>
            <w:hideMark/>
          </w:tcPr>
          <w:p w14:paraId="14A555CC"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4185" w:type="dxa"/>
            <w:gridSpan w:val="12"/>
            <w:shd w:val="clear" w:color="000000" w:fill="C6E0B4"/>
            <w:noWrap/>
            <w:hideMark/>
          </w:tcPr>
          <w:p w14:paraId="25D91EF2"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Année 2024</w:t>
            </w:r>
          </w:p>
        </w:tc>
        <w:tc>
          <w:tcPr>
            <w:tcW w:w="1236" w:type="dxa"/>
            <w:vMerge/>
            <w:vAlign w:val="center"/>
            <w:hideMark/>
          </w:tcPr>
          <w:p w14:paraId="1584E75C"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954" w:type="dxa"/>
            <w:vMerge/>
            <w:vAlign w:val="center"/>
            <w:hideMark/>
          </w:tcPr>
          <w:p w14:paraId="26AC65CD"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p>
        </w:tc>
      </w:tr>
      <w:tr w:rsidR="00A3274A" w:rsidRPr="00EF5BD0" w14:paraId="371C8B32" w14:textId="77777777" w:rsidTr="00A3274A">
        <w:trPr>
          <w:trHeight w:val="450"/>
        </w:trPr>
        <w:tc>
          <w:tcPr>
            <w:tcW w:w="1917" w:type="dxa"/>
            <w:vMerge/>
            <w:vAlign w:val="center"/>
            <w:hideMark/>
          </w:tcPr>
          <w:p w14:paraId="6ECD5985"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6725" w:type="dxa"/>
            <w:gridSpan w:val="2"/>
            <w:vMerge/>
            <w:vAlign w:val="center"/>
            <w:hideMark/>
          </w:tcPr>
          <w:p w14:paraId="56F02D6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417" w:type="dxa"/>
            <w:vMerge w:val="restart"/>
            <w:shd w:val="clear" w:color="000000" w:fill="C6E0B4"/>
            <w:vAlign w:val="center"/>
            <w:hideMark/>
          </w:tcPr>
          <w:p w14:paraId="570B1D23"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J</w:t>
            </w:r>
          </w:p>
        </w:tc>
        <w:tc>
          <w:tcPr>
            <w:tcW w:w="326" w:type="dxa"/>
            <w:vMerge w:val="restart"/>
            <w:shd w:val="clear" w:color="000000" w:fill="C6E0B4"/>
            <w:vAlign w:val="center"/>
            <w:hideMark/>
          </w:tcPr>
          <w:p w14:paraId="6069BB8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F</w:t>
            </w:r>
          </w:p>
        </w:tc>
        <w:tc>
          <w:tcPr>
            <w:tcW w:w="386" w:type="dxa"/>
            <w:vMerge w:val="restart"/>
            <w:shd w:val="clear" w:color="000000" w:fill="C6E0B4"/>
            <w:vAlign w:val="center"/>
            <w:hideMark/>
          </w:tcPr>
          <w:p w14:paraId="534D096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M</w:t>
            </w:r>
          </w:p>
        </w:tc>
        <w:tc>
          <w:tcPr>
            <w:tcW w:w="346" w:type="dxa"/>
            <w:vMerge w:val="restart"/>
            <w:shd w:val="clear" w:color="000000" w:fill="C6E0B4"/>
            <w:vAlign w:val="center"/>
            <w:hideMark/>
          </w:tcPr>
          <w:p w14:paraId="4D6DC36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w:t>
            </w:r>
          </w:p>
        </w:tc>
        <w:tc>
          <w:tcPr>
            <w:tcW w:w="386" w:type="dxa"/>
            <w:vMerge w:val="restart"/>
            <w:shd w:val="clear" w:color="000000" w:fill="C6E0B4"/>
            <w:vAlign w:val="center"/>
            <w:hideMark/>
          </w:tcPr>
          <w:p w14:paraId="06EF09B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M</w:t>
            </w:r>
          </w:p>
        </w:tc>
        <w:tc>
          <w:tcPr>
            <w:tcW w:w="306" w:type="dxa"/>
            <w:vMerge w:val="restart"/>
            <w:shd w:val="clear" w:color="000000" w:fill="C6E0B4"/>
            <w:vAlign w:val="center"/>
            <w:hideMark/>
          </w:tcPr>
          <w:p w14:paraId="1B5542A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J</w:t>
            </w:r>
          </w:p>
        </w:tc>
        <w:tc>
          <w:tcPr>
            <w:tcW w:w="306" w:type="dxa"/>
            <w:vMerge w:val="restart"/>
            <w:shd w:val="clear" w:color="000000" w:fill="C6E0B4"/>
            <w:vAlign w:val="center"/>
            <w:hideMark/>
          </w:tcPr>
          <w:p w14:paraId="30EB7E00"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J</w:t>
            </w:r>
          </w:p>
        </w:tc>
        <w:tc>
          <w:tcPr>
            <w:tcW w:w="346" w:type="dxa"/>
            <w:vMerge w:val="restart"/>
            <w:shd w:val="clear" w:color="000000" w:fill="C6E0B4"/>
            <w:vAlign w:val="center"/>
            <w:hideMark/>
          </w:tcPr>
          <w:p w14:paraId="554DA4B5"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w:t>
            </w:r>
          </w:p>
        </w:tc>
        <w:tc>
          <w:tcPr>
            <w:tcW w:w="317" w:type="dxa"/>
            <w:vMerge w:val="restart"/>
            <w:shd w:val="clear" w:color="000000" w:fill="C6E0B4"/>
            <w:vAlign w:val="center"/>
            <w:hideMark/>
          </w:tcPr>
          <w:p w14:paraId="1EB4A460"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S</w:t>
            </w:r>
          </w:p>
        </w:tc>
        <w:tc>
          <w:tcPr>
            <w:tcW w:w="357" w:type="dxa"/>
            <w:vMerge w:val="restart"/>
            <w:shd w:val="clear" w:color="000000" w:fill="C6E0B4"/>
            <w:vAlign w:val="center"/>
            <w:hideMark/>
          </w:tcPr>
          <w:p w14:paraId="1312AA94"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O</w:t>
            </w:r>
          </w:p>
        </w:tc>
        <w:tc>
          <w:tcPr>
            <w:tcW w:w="346" w:type="dxa"/>
            <w:vMerge w:val="restart"/>
            <w:shd w:val="clear" w:color="000000" w:fill="C6E0B4"/>
            <w:vAlign w:val="center"/>
            <w:hideMark/>
          </w:tcPr>
          <w:p w14:paraId="4E26AFFB"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w:t>
            </w:r>
          </w:p>
        </w:tc>
        <w:tc>
          <w:tcPr>
            <w:tcW w:w="346" w:type="dxa"/>
            <w:vMerge w:val="restart"/>
            <w:shd w:val="clear" w:color="000000" w:fill="C6E0B4"/>
            <w:vAlign w:val="center"/>
            <w:hideMark/>
          </w:tcPr>
          <w:p w14:paraId="3D39FD36"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D</w:t>
            </w:r>
          </w:p>
        </w:tc>
        <w:tc>
          <w:tcPr>
            <w:tcW w:w="1236" w:type="dxa"/>
            <w:vMerge/>
            <w:vAlign w:val="center"/>
            <w:hideMark/>
          </w:tcPr>
          <w:p w14:paraId="74B3CFF7"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954" w:type="dxa"/>
            <w:vMerge/>
            <w:vAlign w:val="center"/>
            <w:hideMark/>
          </w:tcPr>
          <w:p w14:paraId="313E1E48"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p>
        </w:tc>
      </w:tr>
      <w:tr w:rsidR="00A3274A" w:rsidRPr="00EF5BD0" w14:paraId="2FBDFB4E" w14:textId="77777777" w:rsidTr="00A3274A">
        <w:trPr>
          <w:trHeight w:val="240"/>
        </w:trPr>
        <w:tc>
          <w:tcPr>
            <w:tcW w:w="1917" w:type="dxa"/>
            <w:shd w:val="clear" w:color="000000" w:fill="C6E0B4"/>
            <w:noWrap/>
            <w:hideMark/>
          </w:tcPr>
          <w:p w14:paraId="5D14CB3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C6E0B4"/>
            <w:noWrap/>
            <w:hideMark/>
          </w:tcPr>
          <w:p w14:paraId="01C5C758"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Activités</w:t>
            </w:r>
          </w:p>
        </w:tc>
        <w:tc>
          <w:tcPr>
            <w:tcW w:w="4610" w:type="dxa"/>
            <w:shd w:val="clear" w:color="000000" w:fill="C6E0B4"/>
            <w:noWrap/>
            <w:hideMark/>
          </w:tcPr>
          <w:p w14:paraId="1B7D28D4"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Sous activités</w:t>
            </w:r>
          </w:p>
        </w:tc>
        <w:tc>
          <w:tcPr>
            <w:tcW w:w="417" w:type="dxa"/>
            <w:vMerge/>
            <w:vAlign w:val="center"/>
            <w:hideMark/>
          </w:tcPr>
          <w:p w14:paraId="2B9406C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26" w:type="dxa"/>
            <w:vMerge/>
            <w:vAlign w:val="center"/>
            <w:hideMark/>
          </w:tcPr>
          <w:p w14:paraId="68D53F95"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86" w:type="dxa"/>
            <w:vMerge/>
            <w:vAlign w:val="center"/>
            <w:hideMark/>
          </w:tcPr>
          <w:p w14:paraId="57F52CE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46" w:type="dxa"/>
            <w:vMerge/>
            <w:vAlign w:val="center"/>
            <w:hideMark/>
          </w:tcPr>
          <w:p w14:paraId="73C8FB86"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86" w:type="dxa"/>
            <w:vMerge/>
            <w:vAlign w:val="center"/>
            <w:hideMark/>
          </w:tcPr>
          <w:p w14:paraId="006640D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06" w:type="dxa"/>
            <w:vMerge/>
            <w:vAlign w:val="center"/>
            <w:hideMark/>
          </w:tcPr>
          <w:p w14:paraId="6DD12C3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06" w:type="dxa"/>
            <w:vMerge/>
            <w:vAlign w:val="center"/>
            <w:hideMark/>
          </w:tcPr>
          <w:p w14:paraId="0C9A7D8C"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46" w:type="dxa"/>
            <w:vMerge/>
            <w:vAlign w:val="center"/>
            <w:hideMark/>
          </w:tcPr>
          <w:p w14:paraId="1DCF28DF"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17" w:type="dxa"/>
            <w:vMerge/>
            <w:vAlign w:val="center"/>
            <w:hideMark/>
          </w:tcPr>
          <w:p w14:paraId="2F5FB1A7"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57" w:type="dxa"/>
            <w:vMerge/>
            <w:vAlign w:val="center"/>
            <w:hideMark/>
          </w:tcPr>
          <w:p w14:paraId="052F27D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46" w:type="dxa"/>
            <w:vMerge/>
            <w:vAlign w:val="center"/>
            <w:hideMark/>
          </w:tcPr>
          <w:p w14:paraId="7D172FB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346" w:type="dxa"/>
            <w:vMerge/>
            <w:vAlign w:val="center"/>
            <w:hideMark/>
          </w:tcPr>
          <w:p w14:paraId="7D8ED24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1236" w:type="dxa"/>
            <w:vMerge/>
            <w:vAlign w:val="center"/>
            <w:hideMark/>
          </w:tcPr>
          <w:p w14:paraId="6B24DFC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954" w:type="dxa"/>
            <w:vMerge/>
            <w:vAlign w:val="center"/>
            <w:hideMark/>
          </w:tcPr>
          <w:p w14:paraId="00AAB3BD"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p>
        </w:tc>
      </w:tr>
      <w:tr w:rsidR="00A3274A" w:rsidRPr="00911768" w14:paraId="18664DE1" w14:textId="77777777" w:rsidTr="00A3274A">
        <w:trPr>
          <w:trHeight w:val="240"/>
        </w:trPr>
        <w:tc>
          <w:tcPr>
            <w:tcW w:w="15017" w:type="dxa"/>
            <w:gridSpan w:val="17"/>
            <w:shd w:val="clear" w:color="000000" w:fill="FFFF00"/>
            <w:noWrap/>
            <w:hideMark/>
          </w:tcPr>
          <w:p w14:paraId="265EA82B"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OLT 1: Les partis politiques ont renforcé leur capacité à s'engager de manière significative dans les processus politiques et électoraux.</w:t>
            </w:r>
          </w:p>
        </w:tc>
      </w:tr>
      <w:tr w:rsidR="00A3274A" w:rsidRPr="00EF5BD0" w14:paraId="17E15409" w14:textId="77777777" w:rsidTr="00A3274A">
        <w:trPr>
          <w:trHeight w:val="667"/>
        </w:trPr>
        <w:tc>
          <w:tcPr>
            <w:tcW w:w="1917" w:type="dxa"/>
            <w:vMerge w:val="restart"/>
            <w:shd w:val="clear" w:color="auto" w:fill="auto"/>
            <w:hideMark/>
          </w:tcPr>
          <w:p w14:paraId="27C6812D"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1.1: Des plans stratégiques des partis politiques sont mis en place pour le renforcement des capacités dans les domaines du développement de programmes politiques, de la démocratie interne et du développement organisationnel </w:t>
            </w:r>
          </w:p>
        </w:tc>
        <w:tc>
          <w:tcPr>
            <w:tcW w:w="2115" w:type="dxa"/>
            <w:shd w:val="clear" w:color="auto" w:fill="auto"/>
            <w:hideMark/>
          </w:tcPr>
          <w:p w14:paraId="055661A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A1.1.1 Identification et consultations initiales avec les parties prenantes</w:t>
            </w:r>
          </w:p>
        </w:tc>
        <w:tc>
          <w:tcPr>
            <w:tcW w:w="4610" w:type="dxa"/>
            <w:shd w:val="clear" w:color="auto" w:fill="auto"/>
            <w:hideMark/>
          </w:tcPr>
          <w:p w14:paraId="5DEDB5C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A1.1.1 Identification et consultations initiales avec les parties prenantes (sensibilisation, lobby, pladoyer des acteurs politiques)</w:t>
            </w:r>
          </w:p>
        </w:tc>
        <w:tc>
          <w:tcPr>
            <w:tcW w:w="417" w:type="dxa"/>
            <w:shd w:val="clear" w:color="000000" w:fill="FFC000"/>
            <w:hideMark/>
          </w:tcPr>
          <w:p w14:paraId="03643F0C"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26" w:type="dxa"/>
            <w:shd w:val="clear" w:color="000000" w:fill="FFC000"/>
            <w:hideMark/>
          </w:tcPr>
          <w:p w14:paraId="37D368C1"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86" w:type="dxa"/>
            <w:shd w:val="clear" w:color="000000" w:fill="FFC000"/>
            <w:hideMark/>
          </w:tcPr>
          <w:p w14:paraId="44669333"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000000" w:fill="FFC000"/>
            <w:hideMark/>
          </w:tcPr>
          <w:p w14:paraId="2E29D243"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86" w:type="dxa"/>
            <w:shd w:val="clear" w:color="000000" w:fill="FFC000"/>
            <w:hideMark/>
          </w:tcPr>
          <w:p w14:paraId="157419CD"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06" w:type="dxa"/>
            <w:shd w:val="clear" w:color="000000" w:fill="FFC000"/>
            <w:hideMark/>
          </w:tcPr>
          <w:p w14:paraId="220E8F90"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06" w:type="dxa"/>
            <w:shd w:val="clear" w:color="000000" w:fill="FFC000"/>
            <w:hideMark/>
          </w:tcPr>
          <w:p w14:paraId="23A642BC"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000000" w:fill="FFC000"/>
            <w:hideMark/>
          </w:tcPr>
          <w:p w14:paraId="3C5ADB59"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17" w:type="dxa"/>
            <w:shd w:val="clear" w:color="auto" w:fill="auto"/>
            <w:hideMark/>
          </w:tcPr>
          <w:p w14:paraId="049DAFE4"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57" w:type="dxa"/>
            <w:shd w:val="clear" w:color="auto" w:fill="auto"/>
            <w:hideMark/>
          </w:tcPr>
          <w:p w14:paraId="3071670A"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auto" w:fill="auto"/>
            <w:hideMark/>
          </w:tcPr>
          <w:p w14:paraId="098AC0BB"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auto" w:fill="auto"/>
            <w:hideMark/>
          </w:tcPr>
          <w:p w14:paraId="2B106E19"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1236" w:type="dxa"/>
            <w:shd w:val="clear" w:color="auto" w:fill="auto"/>
            <w:vAlign w:val="center"/>
            <w:hideMark/>
          </w:tcPr>
          <w:p w14:paraId="305C7659"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6634EFD3"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2 970  </w:t>
            </w:r>
          </w:p>
        </w:tc>
      </w:tr>
      <w:tr w:rsidR="00A3274A" w:rsidRPr="00EF5BD0" w14:paraId="71F530A6" w14:textId="77777777" w:rsidTr="00A3274A">
        <w:trPr>
          <w:trHeight w:val="705"/>
        </w:trPr>
        <w:tc>
          <w:tcPr>
            <w:tcW w:w="1917" w:type="dxa"/>
            <w:vMerge/>
            <w:vAlign w:val="center"/>
            <w:hideMark/>
          </w:tcPr>
          <w:p w14:paraId="3A61A3B4"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restart"/>
            <w:shd w:val="clear" w:color="auto" w:fill="auto"/>
            <w:hideMark/>
          </w:tcPr>
          <w:p w14:paraId="4ED2005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A1.1.3. Développement du contenu des plans stratégiques</w:t>
            </w:r>
          </w:p>
        </w:tc>
        <w:tc>
          <w:tcPr>
            <w:tcW w:w="4610" w:type="dxa"/>
            <w:shd w:val="clear" w:color="auto" w:fill="auto"/>
            <w:hideMark/>
          </w:tcPr>
          <w:p w14:paraId="6963DC2D" w14:textId="77777777" w:rsidR="00A3274A" w:rsidRPr="00911768" w:rsidRDefault="00A3274A" w:rsidP="006C4B1E">
            <w:pPr>
              <w:spacing w:after="0" w:line="240" w:lineRule="auto"/>
              <w:rPr>
                <w:rFonts w:ascii="Times New Roman" w:eastAsia="Times New Roman" w:hAnsi="Times New Roman" w:cs="Times New Roman"/>
                <w:sz w:val="18"/>
                <w:szCs w:val="18"/>
                <w:lang w:val="fr-FR"/>
              </w:rPr>
            </w:pPr>
            <w:r w:rsidRPr="00911768">
              <w:rPr>
                <w:rFonts w:ascii="Times New Roman" w:eastAsia="Times New Roman" w:hAnsi="Times New Roman" w:cs="Times New Roman"/>
                <w:sz w:val="18"/>
                <w:szCs w:val="18"/>
                <w:lang w:val="fr-FR"/>
              </w:rPr>
              <w:t>A1.1.3.a.  Organiser un atelier de lancement des mises à jour des programmes politiques contextualisés, sous le haut patronage du Ministre ayant l'interieur dans ses attributions</w:t>
            </w:r>
          </w:p>
        </w:tc>
        <w:tc>
          <w:tcPr>
            <w:tcW w:w="417" w:type="dxa"/>
            <w:shd w:val="clear" w:color="000000" w:fill="FFC000"/>
            <w:hideMark/>
          </w:tcPr>
          <w:p w14:paraId="37028AA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778D2BF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7DDD592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FB2420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649CC3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D07592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4DF4384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D21146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6917935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87D7DF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155B65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040B9A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E1F7FF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497D9620"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10 634  </w:t>
            </w:r>
          </w:p>
        </w:tc>
      </w:tr>
      <w:tr w:rsidR="00A3274A" w:rsidRPr="00EF5BD0" w14:paraId="49F018AD" w14:textId="77777777" w:rsidTr="00A3274A">
        <w:trPr>
          <w:trHeight w:val="480"/>
        </w:trPr>
        <w:tc>
          <w:tcPr>
            <w:tcW w:w="1917" w:type="dxa"/>
            <w:vMerge/>
            <w:vAlign w:val="center"/>
            <w:hideMark/>
          </w:tcPr>
          <w:p w14:paraId="66584724"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63AE0D3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273DC85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A1.1.3.b. Développement du contenu des plans stratégiques </w:t>
            </w:r>
            <w:r w:rsidRPr="00911768">
              <w:rPr>
                <w:rFonts w:ascii="Times New Roman" w:eastAsia="Times New Roman" w:hAnsi="Times New Roman" w:cs="Times New Roman"/>
                <w:b/>
                <w:bCs/>
                <w:i/>
                <w:iCs/>
                <w:color w:val="000000"/>
                <w:sz w:val="18"/>
                <w:szCs w:val="18"/>
                <w:lang w:val="fr-FR"/>
              </w:rPr>
              <w:t xml:space="preserve"> (3 Jrs de travail à Bujumbura)</w:t>
            </w:r>
          </w:p>
        </w:tc>
        <w:tc>
          <w:tcPr>
            <w:tcW w:w="417" w:type="dxa"/>
            <w:shd w:val="clear" w:color="000000" w:fill="FFC000"/>
            <w:hideMark/>
          </w:tcPr>
          <w:p w14:paraId="083C0894"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26" w:type="dxa"/>
            <w:shd w:val="clear" w:color="000000" w:fill="FFC000"/>
            <w:hideMark/>
          </w:tcPr>
          <w:p w14:paraId="0221CE1E"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86" w:type="dxa"/>
            <w:shd w:val="clear" w:color="000000" w:fill="FFC000"/>
            <w:hideMark/>
          </w:tcPr>
          <w:p w14:paraId="65ECF8C9"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000000" w:fill="FFFFFF"/>
            <w:hideMark/>
          </w:tcPr>
          <w:p w14:paraId="4F113773"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86" w:type="dxa"/>
            <w:shd w:val="clear" w:color="000000" w:fill="FFFFFF"/>
            <w:hideMark/>
          </w:tcPr>
          <w:p w14:paraId="62890DFE"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06" w:type="dxa"/>
            <w:shd w:val="clear" w:color="auto" w:fill="auto"/>
            <w:hideMark/>
          </w:tcPr>
          <w:p w14:paraId="3EEAB399"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06" w:type="dxa"/>
            <w:shd w:val="clear" w:color="auto" w:fill="auto"/>
            <w:hideMark/>
          </w:tcPr>
          <w:p w14:paraId="4CF8C4C1"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auto" w:fill="auto"/>
            <w:hideMark/>
          </w:tcPr>
          <w:p w14:paraId="7EA10796"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17" w:type="dxa"/>
            <w:shd w:val="clear" w:color="auto" w:fill="auto"/>
            <w:hideMark/>
          </w:tcPr>
          <w:p w14:paraId="02ACFFC7"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57" w:type="dxa"/>
            <w:shd w:val="clear" w:color="auto" w:fill="auto"/>
            <w:hideMark/>
          </w:tcPr>
          <w:p w14:paraId="41DD398E"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auto" w:fill="auto"/>
            <w:hideMark/>
          </w:tcPr>
          <w:p w14:paraId="5EF5C245"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346" w:type="dxa"/>
            <w:shd w:val="clear" w:color="auto" w:fill="auto"/>
            <w:hideMark/>
          </w:tcPr>
          <w:p w14:paraId="152ABF10"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1236" w:type="dxa"/>
            <w:shd w:val="clear" w:color="auto" w:fill="auto"/>
            <w:vAlign w:val="center"/>
            <w:hideMark/>
          </w:tcPr>
          <w:p w14:paraId="23F0952B"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5F97499E"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10 720  </w:t>
            </w:r>
          </w:p>
        </w:tc>
      </w:tr>
      <w:tr w:rsidR="00A3274A" w:rsidRPr="00EF5BD0" w14:paraId="51722C33" w14:textId="77777777" w:rsidTr="00A3274A">
        <w:trPr>
          <w:trHeight w:val="766"/>
        </w:trPr>
        <w:tc>
          <w:tcPr>
            <w:tcW w:w="1917" w:type="dxa"/>
            <w:vMerge/>
            <w:vAlign w:val="center"/>
            <w:hideMark/>
          </w:tcPr>
          <w:p w14:paraId="1AEF7C5E"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7082DB9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A1.1.4. Atelier national de formation (planification stratégique) </w:t>
            </w:r>
          </w:p>
        </w:tc>
        <w:tc>
          <w:tcPr>
            <w:tcW w:w="4610" w:type="dxa"/>
            <w:shd w:val="clear" w:color="auto" w:fill="auto"/>
            <w:hideMark/>
          </w:tcPr>
          <w:p w14:paraId="6730227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A1.1.4. Organiser un </w:t>
            </w:r>
            <w:r w:rsidRPr="00911768">
              <w:rPr>
                <w:rFonts w:ascii="Times New Roman" w:eastAsia="Times New Roman" w:hAnsi="Times New Roman" w:cs="Times New Roman"/>
                <w:b/>
                <w:bCs/>
                <w:i/>
                <w:iCs/>
                <w:color w:val="000000"/>
                <w:sz w:val="18"/>
                <w:szCs w:val="18"/>
                <w:lang w:val="fr-FR"/>
              </w:rPr>
              <w:t xml:space="preserve">atelier national </w:t>
            </w:r>
            <w:r w:rsidRPr="00911768">
              <w:rPr>
                <w:rFonts w:ascii="Times New Roman" w:eastAsia="Times New Roman" w:hAnsi="Times New Roman" w:cs="Times New Roman"/>
                <w:color w:val="000000"/>
                <w:sz w:val="18"/>
                <w:szCs w:val="18"/>
                <w:lang w:val="fr-FR"/>
              </w:rPr>
              <w:t>de recyclage/formation des partis politiques sur les concepts, les principes et la  méthodologie de</w:t>
            </w:r>
            <w:r w:rsidRPr="00911768">
              <w:rPr>
                <w:rFonts w:ascii="Times New Roman" w:eastAsia="Times New Roman" w:hAnsi="Times New Roman" w:cs="Times New Roman"/>
                <w:b/>
                <w:bCs/>
                <w:i/>
                <w:iCs/>
                <w:color w:val="000000"/>
                <w:sz w:val="18"/>
                <w:szCs w:val="18"/>
                <w:lang w:val="fr-FR"/>
              </w:rPr>
              <w:t xml:space="preserve"> l'actualisation de leurs plans stratégiques</w:t>
            </w:r>
            <w:r w:rsidRPr="00911768">
              <w:rPr>
                <w:rFonts w:ascii="Times New Roman" w:eastAsia="Times New Roman" w:hAnsi="Times New Roman" w:cs="Times New Roman"/>
                <w:color w:val="000000"/>
                <w:sz w:val="18"/>
                <w:szCs w:val="18"/>
                <w:lang w:val="fr-FR"/>
              </w:rPr>
              <w:t xml:space="preserve"> </w:t>
            </w:r>
          </w:p>
        </w:tc>
        <w:tc>
          <w:tcPr>
            <w:tcW w:w="417" w:type="dxa"/>
            <w:shd w:val="clear" w:color="auto" w:fill="auto"/>
            <w:hideMark/>
          </w:tcPr>
          <w:p w14:paraId="3CA67EE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A5F37B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11E837A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4AAC30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76099FF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A4AA33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4C636E5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D8CA36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3766395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7B2363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AD6A8A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81021B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DEA8BF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2A09B504"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5 260  </w:t>
            </w:r>
          </w:p>
        </w:tc>
      </w:tr>
      <w:tr w:rsidR="00A3274A" w:rsidRPr="00EF5BD0" w14:paraId="1186978B" w14:textId="77777777" w:rsidTr="00A3274A">
        <w:trPr>
          <w:trHeight w:val="564"/>
        </w:trPr>
        <w:tc>
          <w:tcPr>
            <w:tcW w:w="1917" w:type="dxa"/>
            <w:vMerge/>
            <w:vAlign w:val="center"/>
            <w:hideMark/>
          </w:tcPr>
          <w:p w14:paraId="241680E3"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0E5B4E9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A1.1.5 Assistance technique directe</w:t>
            </w:r>
          </w:p>
        </w:tc>
        <w:tc>
          <w:tcPr>
            <w:tcW w:w="4610" w:type="dxa"/>
            <w:shd w:val="clear" w:color="auto" w:fill="auto"/>
            <w:hideMark/>
          </w:tcPr>
          <w:p w14:paraId="5FE2032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A1.1.5 Accompagner techniquement les partis politiques (10) dans le processus d'actualisation de leurs plans stratégiques adaptés aux besoin du pays </w:t>
            </w:r>
          </w:p>
        </w:tc>
        <w:tc>
          <w:tcPr>
            <w:tcW w:w="417" w:type="dxa"/>
            <w:shd w:val="clear" w:color="000000" w:fill="FFFFFF"/>
            <w:hideMark/>
          </w:tcPr>
          <w:p w14:paraId="7CA0511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2D53388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6CAD030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445A68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B6BD15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524B821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35CAE47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3AB1B2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163D2E9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43109A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84C51B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2E7B19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D95056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38FE5EC6"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20 460  </w:t>
            </w:r>
          </w:p>
        </w:tc>
      </w:tr>
      <w:tr w:rsidR="00A3274A" w:rsidRPr="00EF5BD0" w14:paraId="69E2F7FB" w14:textId="77777777" w:rsidTr="00A3274A">
        <w:trPr>
          <w:trHeight w:val="488"/>
        </w:trPr>
        <w:tc>
          <w:tcPr>
            <w:tcW w:w="1917" w:type="dxa"/>
            <w:vMerge/>
            <w:vAlign w:val="center"/>
            <w:hideMark/>
          </w:tcPr>
          <w:p w14:paraId="73705927"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38192D1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auto" w:fill="auto"/>
            <w:hideMark/>
          </w:tcPr>
          <w:p w14:paraId="38E2E7C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A1.1.6. Organiser des ateliers internes aux partis politiques (10) d’analyse, enrichissement et validation de leurs plans stratégiques contextualisés</w:t>
            </w:r>
          </w:p>
        </w:tc>
        <w:tc>
          <w:tcPr>
            <w:tcW w:w="417" w:type="dxa"/>
            <w:shd w:val="clear" w:color="auto" w:fill="auto"/>
            <w:hideMark/>
          </w:tcPr>
          <w:p w14:paraId="73E287C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547F7F8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3A4C850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499659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2BDA52B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71A393D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2B6C624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7802DAF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20961C4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9C7A9A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BC37D8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5B3571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C201BC3"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56D5F9F4"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13 350  </w:t>
            </w:r>
          </w:p>
        </w:tc>
      </w:tr>
      <w:tr w:rsidR="00A3274A" w:rsidRPr="00EF5BD0" w14:paraId="54EF235D" w14:textId="77777777" w:rsidTr="00A3274A">
        <w:trPr>
          <w:trHeight w:val="204"/>
        </w:trPr>
        <w:tc>
          <w:tcPr>
            <w:tcW w:w="1917" w:type="dxa"/>
            <w:shd w:val="clear" w:color="000000" w:fill="000000"/>
            <w:noWrap/>
            <w:hideMark/>
          </w:tcPr>
          <w:p w14:paraId="4350391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77AA15B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530F234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06CA58D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1BBF842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1D3DA7A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6155A98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2E56780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4647EE1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5086267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57DDCC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088C61D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0C9245E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628F9B3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3A43261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3D19EDCB"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hideMark/>
          </w:tcPr>
          <w:p w14:paraId="26C4549F"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63 394  </w:t>
            </w:r>
          </w:p>
        </w:tc>
      </w:tr>
      <w:tr w:rsidR="00A3274A" w:rsidRPr="00EF5BD0" w14:paraId="7A9AE740" w14:textId="77777777" w:rsidTr="00A3274A">
        <w:trPr>
          <w:trHeight w:val="486"/>
        </w:trPr>
        <w:tc>
          <w:tcPr>
            <w:tcW w:w="1917" w:type="dxa"/>
            <w:vMerge w:val="restart"/>
            <w:shd w:val="clear" w:color="auto" w:fill="auto"/>
            <w:hideMark/>
          </w:tcPr>
          <w:p w14:paraId="752C8B30"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 1.2 : Les partis politiques élaborent, distribuent et font la campagne électorale sur la base de leurs programmes contextualisés </w:t>
            </w:r>
          </w:p>
        </w:tc>
        <w:tc>
          <w:tcPr>
            <w:tcW w:w="2115" w:type="dxa"/>
            <w:vMerge w:val="restart"/>
            <w:shd w:val="clear" w:color="auto" w:fill="auto"/>
            <w:hideMark/>
          </w:tcPr>
          <w:p w14:paraId="48E499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A1.2.1  Ateliers de développement de programmes pour les partis politiques </w:t>
            </w:r>
          </w:p>
        </w:tc>
        <w:tc>
          <w:tcPr>
            <w:tcW w:w="4610" w:type="dxa"/>
            <w:shd w:val="clear" w:color="auto" w:fill="auto"/>
            <w:hideMark/>
          </w:tcPr>
          <w:p w14:paraId="04E3FD2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A1.2.1 Accompagner les partis politiques à mettre à jour leurs programmes politiques contextualisés suivant 5 étapes ci-après:</w:t>
            </w:r>
          </w:p>
        </w:tc>
        <w:tc>
          <w:tcPr>
            <w:tcW w:w="417" w:type="dxa"/>
            <w:shd w:val="clear" w:color="auto" w:fill="auto"/>
            <w:hideMark/>
          </w:tcPr>
          <w:p w14:paraId="3973CB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2A46BA3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7663B32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9DC450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42509BA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2970DA9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97DD8A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BED285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430F80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15A90D4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16E13E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6FEAC4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3325244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32EE4A08"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w:t>
            </w:r>
          </w:p>
        </w:tc>
      </w:tr>
      <w:tr w:rsidR="00A3274A" w:rsidRPr="00EF5BD0" w14:paraId="7AA8FC85" w14:textId="77777777" w:rsidTr="00A3274A">
        <w:trPr>
          <w:trHeight w:val="504"/>
        </w:trPr>
        <w:tc>
          <w:tcPr>
            <w:tcW w:w="1917" w:type="dxa"/>
            <w:vMerge/>
            <w:vAlign w:val="center"/>
            <w:hideMark/>
          </w:tcPr>
          <w:p w14:paraId="23A673FE"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43BCA6E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375C88C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A1.2.1.1 Validation du mandat et démarche méthodologique (3 jours)</w:t>
            </w:r>
          </w:p>
        </w:tc>
        <w:tc>
          <w:tcPr>
            <w:tcW w:w="417" w:type="dxa"/>
            <w:shd w:val="clear" w:color="000000" w:fill="FFC000"/>
            <w:hideMark/>
          </w:tcPr>
          <w:p w14:paraId="73F8C48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2997BD9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3D51283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D7FAD9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5632CF1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763ECA5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1E46B0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2EAD11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55637E1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4E967C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93E862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EAD1F4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2956E22"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69AF06E9"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9 562  </w:t>
            </w:r>
          </w:p>
        </w:tc>
      </w:tr>
      <w:tr w:rsidR="00A3274A" w:rsidRPr="00EF5BD0" w14:paraId="15042C86" w14:textId="77777777" w:rsidTr="00A3274A">
        <w:trPr>
          <w:trHeight w:val="504"/>
        </w:trPr>
        <w:tc>
          <w:tcPr>
            <w:tcW w:w="1917" w:type="dxa"/>
            <w:vMerge/>
            <w:vAlign w:val="center"/>
            <w:hideMark/>
          </w:tcPr>
          <w:p w14:paraId="3FEC7F64"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6EDFE99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1F10D33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A1.2.1.2  Réunion interne de deux jours à chaque parti   de définition et validation des thèmes </w:t>
            </w:r>
            <w:r w:rsidRPr="00911768">
              <w:rPr>
                <w:rFonts w:ascii="Times New Roman" w:eastAsia="Times New Roman" w:hAnsi="Times New Roman" w:cs="Times New Roman"/>
                <w:color w:val="000000"/>
                <w:sz w:val="18"/>
                <w:szCs w:val="18"/>
                <w:lang w:val="fr-FR"/>
              </w:rPr>
              <w:br/>
              <w:t xml:space="preserve">      </w:t>
            </w:r>
          </w:p>
        </w:tc>
        <w:tc>
          <w:tcPr>
            <w:tcW w:w="417" w:type="dxa"/>
            <w:shd w:val="clear" w:color="000000" w:fill="FFC000"/>
            <w:hideMark/>
          </w:tcPr>
          <w:p w14:paraId="6382E58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2FAC470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7F2CDED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76D79A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3DE1DC0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CC3E8D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22C76AB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755278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8DA18F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1FDB5E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D37E22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3EB51A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35A82D97"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0FE9BCFF"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11 303  </w:t>
            </w:r>
          </w:p>
        </w:tc>
      </w:tr>
      <w:tr w:rsidR="00A3274A" w:rsidRPr="00EF5BD0" w14:paraId="58D02AE5" w14:textId="77777777" w:rsidTr="00A3274A">
        <w:trPr>
          <w:trHeight w:val="504"/>
        </w:trPr>
        <w:tc>
          <w:tcPr>
            <w:tcW w:w="1917" w:type="dxa"/>
            <w:vMerge/>
            <w:vAlign w:val="center"/>
            <w:hideMark/>
          </w:tcPr>
          <w:p w14:paraId="5C2CD8C2"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3F8480A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5947D83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A1.2.1.3 Processus de développement interne du draft de programme par  7 cadres du parti </w:t>
            </w:r>
          </w:p>
        </w:tc>
        <w:tc>
          <w:tcPr>
            <w:tcW w:w="417" w:type="dxa"/>
            <w:shd w:val="clear" w:color="000000" w:fill="FFC000"/>
            <w:hideMark/>
          </w:tcPr>
          <w:p w14:paraId="343E782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B93E5D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53E4CD4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BA51AA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57FB5E8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166BBF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3D4682F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51A53E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6E12BF6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044D7F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C1EC02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2BF72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58C6E3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476DC29F"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37 455  </w:t>
            </w:r>
          </w:p>
        </w:tc>
      </w:tr>
      <w:tr w:rsidR="00A3274A" w:rsidRPr="00EF5BD0" w14:paraId="741820C4" w14:textId="77777777" w:rsidTr="00A3274A">
        <w:trPr>
          <w:trHeight w:val="504"/>
        </w:trPr>
        <w:tc>
          <w:tcPr>
            <w:tcW w:w="1917" w:type="dxa"/>
            <w:vMerge/>
            <w:vAlign w:val="center"/>
            <w:hideMark/>
          </w:tcPr>
          <w:p w14:paraId="450A8AE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408089F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1E3A1A8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A1.2.1.4 Réunion interne de partage du draft de programme avec les organes décentralisés du parti  </w:t>
            </w:r>
          </w:p>
        </w:tc>
        <w:tc>
          <w:tcPr>
            <w:tcW w:w="417" w:type="dxa"/>
            <w:shd w:val="clear" w:color="000000" w:fill="FFC000"/>
            <w:hideMark/>
          </w:tcPr>
          <w:p w14:paraId="36189DA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6965367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6AE70D1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CEDABA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04DF1B6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7E2A3FC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35DE034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13054A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562C0AF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72AD9B7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93125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D7C5FF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77B149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77D2FBF0"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9 653  </w:t>
            </w:r>
          </w:p>
        </w:tc>
      </w:tr>
      <w:tr w:rsidR="00A3274A" w:rsidRPr="00EF5BD0" w14:paraId="27CDFF91" w14:textId="77777777" w:rsidTr="00A3274A">
        <w:trPr>
          <w:trHeight w:val="300"/>
        </w:trPr>
        <w:tc>
          <w:tcPr>
            <w:tcW w:w="1917" w:type="dxa"/>
            <w:vMerge/>
            <w:vAlign w:val="center"/>
            <w:hideMark/>
          </w:tcPr>
          <w:p w14:paraId="5CAE05B3"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1B1D7FA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55B77C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A1.2.1.5 Validation du daft par le bureau du parti</w:t>
            </w:r>
          </w:p>
        </w:tc>
        <w:tc>
          <w:tcPr>
            <w:tcW w:w="417" w:type="dxa"/>
            <w:shd w:val="clear" w:color="000000" w:fill="FFC000"/>
            <w:hideMark/>
          </w:tcPr>
          <w:p w14:paraId="7B25338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D37A5C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3AE093C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492C94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1E40B6A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33AB38C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4AADC8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7E5C57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14D5FD0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70593E0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AAE554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D09AB6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70173DE"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0DC709C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19 635  </w:t>
            </w:r>
          </w:p>
        </w:tc>
      </w:tr>
      <w:tr w:rsidR="00A3274A" w:rsidRPr="00EF5BD0" w14:paraId="408F4209" w14:textId="77777777" w:rsidTr="00A3274A">
        <w:trPr>
          <w:trHeight w:val="848"/>
        </w:trPr>
        <w:tc>
          <w:tcPr>
            <w:tcW w:w="1917" w:type="dxa"/>
            <w:vMerge/>
            <w:vAlign w:val="center"/>
            <w:hideMark/>
          </w:tcPr>
          <w:p w14:paraId="24D217F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2AEE6B1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A1.2.2  Formations/coaching  des messages, </w:t>
            </w:r>
          </w:p>
        </w:tc>
        <w:tc>
          <w:tcPr>
            <w:tcW w:w="4610" w:type="dxa"/>
            <w:shd w:val="clear" w:color="auto" w:fill="auto"/>
            <w:hideMark/>
          </w:tcPr>
          <w:p w14:paraId="178E738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A1.2.2  Assurer la formations/coachingdes partis politiques sur l'efficacité des messages, la planification et la mise en œuvre de la campagne électorale sur base des documents contextualisés (coaching/PP): 3 jours</w:t>
            </w:r>
          </w:p>
        </w:tc>
        <w:tc>
          <w:tcPr>
            <w:tcW w:w="417" w:type="dxa"/>
            <w:shd w:val="clear" w:color="auto" w:fill="auto"/>
            <w:hideMark/>
          </w:tcPr>
          <w:p w14:paraId="4EF38BD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70478F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044A429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FE9B3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338BF67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B7B8F7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E3ADC2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31DD3C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0A51ADD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7A86EE5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57171C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C264C0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000000" w:fill="FFFFFF"/>
            <w:vAlign w:val="center"/>
            <w:hideMark/>
          </w:tcPr>
          <w:p w14:paraId="343FDB53"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10CDC1C4"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10 817  </w:t>
            </w:r>
          </w:p>
        </w:tc>
      </w:tr>
      <w:tr w:rsidR="00A3274A" w:rsidRPr="00EF5BD0" w14:paraId="5C821008" w14:textId="77777777" w:rsidTr="00A3274A">
        <w:trPr>
          <w:trHeight w:val="1287"/>
        </w:trPr>
        <w:tc>
          <w:tcPr>
            <w:tcW w:w="1917" w:type="dxa"/>
            <w:vMerge/>
            <w:vAlign w:val="center"/>
            <w:hideMark/>
          </w:tcPr>
          <w:p w14:paraId="52E53832"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3EA9C9B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A1.2.3  Sessions de réflexion</w:t>
            </w:r>
          </w:p>
        </w:tc>
        <w:tc>
          <w:tcPr>
            <w:tcW w:w="4610" w:type="dxa"/>
            <w:shd w:val="clear" w:color="auto" w:fill="auto"/>
            <w:hideMark/>
          </w:tcPr>
          <w:p w14:paraId="12ABDBA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A1.2.3  Appuyer le Ministère de l’Intérieur à organiser un atelier de réflexion avec les partis politiques, le FDP et la CENI sur les nouvelles dispositions du code électoral, le processus de résolution des litiges électoraux, les attitudes et les comportements civiques à adopter pendant la période électorale et post-électorale</w:t>
            </w:r>
          </w:p>
        </w:tc>
        <w:tc>
          <w:tcPr>
            <w:tcW w:w="417" w:type="dxa"/>
            <w:shd w:val="clear" w:color="000000" w:fill="FFFFFF"/>
            <w:hideMark/>
          </w:tcPr>
          <w:p w14:paraId="66175B2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2910E92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08CDF61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06646D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4EB87D5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6AC9D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771431B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CC3D43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5FB1AF6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EA3DA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EF64B5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9B6062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716D81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626BCC1B"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6 394  </w:t>
            </w:r>
          </w:p>
        </w:tc>
      </w:tr>
      <w:tr w:rsidR="00A3274A" w:rsidRPr="00EF5BD0" w14:paraId="6D535864" w14:textId="77777777" w:rsidTr="00A3274A">
        <w:trPr>
          <w:trHeight w:val="219"/>
        </w:trPr>
        <w:tc>
          <w:tcPr>
            <w:tcW w:w="1917" w:type="dxa"/>
            <w:shd w:val="clear" w:color="000000" w:fill="000000"/>
            <w:hideMark/>
          </w:tcPr>
          <w:p w14:paraId="04ADF626"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20C8D13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530F1AC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0582F81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0C7391B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48AA2F1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3DE3B4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3F94370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340F0E0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40994B1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53E2FF4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4667668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07D479C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7D504DA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0CC0371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450E605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hideMark/>
          </w:tcPr>
          <w:p w14:paraId="5393EF62"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104 819  </w:t>
            </w:r>
          </w:p>
        </w:tc>
      </w:tr>
      <w:tr w:rsidR="00A3274A" w:rsidRPr="00EF5BD0" w14:paraId="3D3A2B31" w14:textId="77777777" w:rsidTr="00A3274A">
        <w:trPr>
          <w:trHeight w:val="1323"/>
        </w:trPr>
        <w:tc>
          <w:tcPr>
            <w:tcW w:w="1917" w:type="dxa"/>
            <w:vMerge w:val="restart"/>
            <w:shd w:val="clear" w:color="auto" w:fill="auto"/>
            <w:hideMark/>
          </w:tcPr>
          <w:p w14:paraId="3172F3B5"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 1.3 : Les partis politiques mettent en place des structures internes de consultation et de coordination au sein de leurs organisations et avec l'extérieur</w:t>
            </w:r>
          </w:p>
        </w:tc>
        <w:tc>
          <w:tcPr>
            <w:tcW w:w="2115" w:type="dxa"/>
            <w:vMerge w:val="restart"/>
            <w:shd w:val="clear" w:color="auto" w:fill="auto"/>
            <w:hideMark/>
          </w:tcPr>
          <w:p w14:paraId="21FC388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xml:space="preserve">A1.3.1 Réunions consultatives </w:t>
            </w:r>
          </w:p>
        </w:tc>
        <w:tc>
          <w:tcPr>
            <w:tcW w:w="4610" w:type="dxa"/>
            <w:shd w:val="clear" w:color="auto" w:fill="auto"/>
            <w:hideMark/>
          </w:tcPr>
          <w:p w14:paraId="641066D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A1.3.1a Organiser des réunions consultatives avec les partis politiques sur le renforcement (ou la mise en place) de structures  internes de coordination, de consultation et de gestion intégrant la dimension de genre aux niveaux local, communal et provincial (procédures de leur mise en place et de leur gestion): 1 national </w:t>
            </w:r>
          </w:p>
        </w:tc>
        <w:tc>
          <w:tcPr>
            <w:tcW w:w="417" w:type="dxa"/>
            <w:shd w:val="clear" w:color="000000" w:fill="FFC000"/>
            <w:hideMark/>
          </w:tcPr>
          <w:p w14:paraId="6446D00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0BA768A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306756F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077F27D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3427C66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74F36E2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39D6B1D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C71DB9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3703646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182F0D1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016377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F5AEA0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DD217C4"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AFRABU-NIMD</w:t>
            </w:r>
          </w:p>
        </w:tc>
        <w:tc>
          <w:tcPr>
            <w:tcW w:w="954" w:type="dxa"/>
            <w:shd w:val="clear" w:color="000000" w:fill="FFFFFF"/>
            <w:vAlign w:val="center"/>
            <w:hideMark/>
          </w:tcPr>
          <w:p w14:paraId="2FE69DA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4 224  </w:t>
            </w:r>
          </w:p>
        </w:tc>
      </w:tr>
      <w:tr w:rsidR="00A3274A" w:rsidRPr="00EF5BD0" w14:paraId="2433474E" w14:textId="77777777" w:rsidTr="00A3274A">
        <w:trPr>
          <w:trHeight w:val="845"/>
        </w:trPr>
        <w:tc>
          <w:tcPr>
            <w:tcW w:w="1917" w:type="dxa"/>
            <w:vMerge/>
            <w:vAlign w:val="center"/>
            <w:hideMark/>
          </w:tcPr>
          <w:p w14:paraId="7B97BA62"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06D63BA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63BB98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A1.3.1b  Plaidoyer en faveur de l'intégration de la dimension genre au sein des partis politiques et pour une meilleure participation de la femme dans les reformes politiques et electorales en vue des elections de 2025-2027 </w:t>
            </w:r>
          </w:p>
        </w:tc>
        <w:tc>
          <w:tcPr>
            <w:tcW w:w="417" w:type="dxa"/>
            <w:shd w:val="clear" w:color="000000" w:fill="FFC000"/>
            <w:hideMark/>
          </w:tcPr>
          <w:p w14:paraId="2ECA427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20642DE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3E413DD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7ED91C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1FFD8B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5CE181C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523C087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41E2D1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4B41C4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CAE8D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F6874F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55C02F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25EBAD4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AFRABU-NIMD</w:t>
            </w:r>
          </w:p>
        </w:tc>
        <w:tc>
          <w:tcPr>
            <w:tcW w:w="954" w:type="dxa"/>
            <w:shd w:val="clear" w:color="000000" w:fill="FFFFFF"/>
            <w:vAlign w:val="center"/>
            <w:hideMark/>
          </w:tcPr>
          <w:p w14:paraId="5D626E6E"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17 071  </w:t>
            </w:r>
          </w:p>
        </w:tc>
      </w:tr>
      <w:tr w:rsidR="00A3274A" w:rsidRPr="00EF5BD0" w14:paraId="5720C574" w14:textId="77777777" w:rsidTr="00A3274A">
        <w:trPr>
          <w:trHeight w:val="1126"/>
        </w:trPr>
        <w:tc>
          <w:tcPr>
            <w:tcW w:w="1917" w:type="dxa"/>
            <w:vMerge/>
            <w:vAlign w:val="center"/>
            <w:hideMark/>
          </w:tcPr>
          <w:p w14:paraId="5E4350E7"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5783986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1.3.2 Activités de sensibilisation du public  </w:t>
            </w:r>
          </w:p>
        </w:tc>
        <w:tc>
          <w:tcPr>
            <w:tcW w:w="4610" w:type="dxa"/>
            <w:shd w:val="clear" w:color="auto" w:fill="auto"/>
            <w:hideMark/>
          </w:tcPr>
          <w:p w14:paraId="6E7A127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911768">
              <w:rPr>
                <w:rFonts w:ascii="Times New Roman" w:eastAsia="Times New Roman" w:hAnsi="Times New Roman" w:cs="Times New Roman"/>
                <w:color w:val="000000"/>
                <w:sz w:val="18"/>
                <w:szCs w:val="18"/>
                <w:lang w:val="fr-FR"/>
              </w:rPr>
              <w:t xml:space="preserve">A 1.3.2 Inciter les dirigeants des partis politiques à etre proches de leurs membres avec des actions de responsabilisation, de sensibilisation et de consultation y compris les niveaux communal et collinaire.  </w:t>
            </w:r>
            <w:r w:rsidRPr="00EF5BD0">
              <w:rPr>
                <w:rFonts w:ascii="Times New Roman" w:eastAsia="Times New Roman" w:hAnsi="Times New Roman" w:cs="Times New Roman"/>
                <w:color w:val="000000"/>
                <w:sz w:val="18"/>
                <w:szCs w:val="18"/>
              </w:rPr>
              <w:t>6 ateliers: 1 national et 5 provinciaux</w:t>
            </w:r>
          </w:p>
        </w:tc>
        <w:tc>
          <w:tcPr>
            <w:tcW w:w="417" w:type="dxa"/>
            <w:shd w:val="clear" w:color="000000" w:fill="FFC000"/>
            <w:hideMark/>
          </w:tcPr>
          <w:p w14:paraId="5C2231E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FFFFFF"/>
            <w:hideMark/>
          </w:tcPr>
          <w:p w14:paraId="26E1FF7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auto" w:fill="auto"/>
            <w:hideMark/>
          </w:tcPr>
          <w:p w14:paraId="4712D5D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FFFFFF"/>
            <w:hideMark/>
          </w:tcPr>
          <w:p w14:paraId="38A38AB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FFFF"/>
            <w:hideMark/>
          </w:tcPr>
          <w:p w14:paraId="750DDCA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auto" w:fill="auto"/>
            <w:hideMark/>
          </w:tcPr>
          <w:p w14:paraId="2FD7FA9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auto" w:fill="auto"/>
            <w:hideMark/>
          </w:tcPr>
          <w:p w14:paraId="0BB65F8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6E7BBFF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auto" w:fill="auto"/>
            <w:hideMark/>
          </w:tcPr>
          <w:p w14:paraId="1C80659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auto" w:fill="auto"/>
            <w:hideMark/>
          </w:tcPr>
          <w:p w14:paraId="04C5F2E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39043F5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72FFBC8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auto" w:fill="auto"/>
            <w:vAlign w:val="center"/>
            <w:hideMark/>
          </w:tcPr>
          <w:p w14:paraId="57EFAC6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CIDEP-NIMD</w:t>
            </w:r>
          </w:p>
        </w:tc>
        <w:tc>
          <w:tcPr>
            <w:tcW w:w="954" w:type="dxa"/>
            <w:shd w:val="clear" w:color="000000" w:fill="FFFFFF"/>
            <w:vAlign w:val="center"/>
            <w:hideMark/>
          </w:tcPr>
          <w:p w14:paraId="20B4E779"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12 977  </w:t>
            </w:r>
          </w:p>
        </w:tc>
      </w:tr>
      <w:tr w:rsidR="00A3274A" w:rsidRPr="00EF5BD0" w14:paraId="398EEBB3" w14:textId="77777777" w:rsidTr="00A3274A">
        <w:trPr>
          <w:trHeight w:val="219"/>
        </w:trPr>
        <w:tc>
          <w:tcPr>
            <w:tcW w:w="1917" w:type="dxa"/>
            <w:shd w:val="clear" w:color="000000" w:fill="000000"/>
            <w:hideMark/>
          </w:tcPr>
          <w:p w14:paraId="1F43CB55"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06DC4DB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4C9DB35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58F6700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0135228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6E794D6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3E9C795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13E8A24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5EA742A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51B5FDD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DD7881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608C4DD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0193248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04EBEB7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69B5DB9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00B662F9"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hideMark/>
          </w:tcPr>
          <w:p w14:paraId="6FFF8B46"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34 272  </w:t>
            </w:r>
          </w:p>
        </w:tc>
      </w:tr>
      <w:tr w:rsidR="00A3274A" w:rsidRPr="00EF5BD0" w14:paraId="404D5B2F" w14:textId="77777777" w:rsidTr="00A3274A">
        <w:trPr>
          <w:trHeight w:val="219"/>
        </w:trPr>
        <w:tc>
          <w:tcPr>
            <w:tcW w:w="1917" w:type="dxa"/>
            <w:shd w:val="clear" w:color="000000" w:fill="ED7D31"/>
            <w:hideMark/>
          </w:tcPr>
          <w:p w14:paraId="3AF50D5E"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Tot OLT1</w:t>
            </w:r>
          </w:p>
        </w:tc>
        <w:tc>
          <w:tcPr>
            <w:tcW w:w="2115" w:type="dxa"/>
            <w:shd w:val="clear" w:color="000000" w:fill="ED7D31"/>
            <w:hideMark/>
          </w:tcPr>
          <w:p w14:paraId="660E92B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ED7D31"/>
            <w:hideMark/>
          </w:tcPr>
          <w:p w14:paraId="582009F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ED7D31"/>
            <w:hideMark/>
          </w:tcPr>
          <w:p w14:paraId="602C2AF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ED7D31"/>
            <w:hideMark/>
          </w:tcPr>
          <w:p w14:paraId="197A245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hideMark/>
          </w:tcPr>
          <w:p w14:paraId="7DD033A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375A940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hideMark/>
          </w:tcPr>
          <w:p w14:paraId="28ED2B2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hideMark/>
          </w:tcPr>
          <w:p w14:paraId="2D9D5ED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hideMark/>
          </w:tcPr>
          <w:p w14:paraId="094D537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7688273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ED7D31"/>
            <w:hideMark/>
          </w:tcPr>
          <w:p w14:paraId="6055562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ED7D31"/>
            <w:hideMark/>
          </w:tcPr>
          <w:p w14:paraId="44D6E2A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02C2A56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0050D7E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ED7D31"/>
            <w:vAlign w:val="center"/>
            <w:hideMark/>
          </w:tcPr>
          <w:p w14:paraId="3877B78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ED7D31"/>
            <w:hideMark/>
          </w:tcPr>
          <w:p w14:paraId="63C965A5" w14:textId="77777777" w:rsidR="00A3274A" w:rsidRPr="00EF5BD0" w:rsidRDefault="00A3274A" w:rsidP="006C4B1E">
            <w:pPr>
              <w:spacing w:after="0" w:line="240" w:lineRule="auto"/>
              <w:rPr>
                <w:rFonts w:ascii="Times New Roman" w:eastAsia="Times New Roman" w:hAnsi="Times New Roman" w:cs="Times New Roman"/>
                <w:b/>
                <w:bCs/>
                <w:sz w:val="18"/>
                <w:szCs w:val="18"/>
              </w:rPr>
            </w:pPr>
            <w:r w:rsidRPr="00EF5BD0">
              <w:rPr>
                <w:rFonts w:ascii="Times New Roman" w:eastAsia="Times New Roman" w:hAnsi="Times New Roman" w:cs="Times New Roman"/>
                <w:b/>
                <w:bCs/>
                <w:sz w:val="18"/>
                <w:szCs w:val="18"/>
              </w:rPr>
              <w:t xml:space="preserve">  202 485  </w:t>
            </w:r>
          </w:p>
        </w:tc>
      </w:tr>
      <w:tr w:rsidR="00A3274A" w:rsidRPr="00911768" w14:paraId="63BCE336" w14:textId="77777777" w:rsidTr="00A3274A">
        <w:trPr>
          <w:trHeight w:val="344"/>
        </w:trPr>
        <w:tc>
          <w:tcPr>
            <w:tcW w:w="15017" w:type="dxa"/>
            <w:gridSpan w:val="17"/>
            <w:shd w:val="clear" w:color="000000" w:fill="FFFF00"/>
            <w:hideMark/>
          </w:tcPr>
          <w:p w14:paraId="72AFF7A8"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OLT2: Les cadres de dialogue entre les dirigeants politiques et le gouvernement burundais sur les questions sociopolitiques et sur les processus électoraux permettent de mettre en place des processus politiques plus inclusifs et des élections pacifiques.</w:t>
            </w:r>
          </w:p>
        </w:tc>
      </w:tr>
      <w:tr w:rsidR="00A3274A" w:rsidRPr="00EF5BD0" w14:paraId="02A33B7B" w14:textId="77777777" w:rsidTr="00A3274A">
        <w:trPr>
          <w:trHeight w:val="943"/>
        </w:trPr>
        <w:tc>
          <w:tcPr>
            <w:tcW w:w="1917" w:type="dxa"/>
            <w:vMerge w:val="restart"/>
            <w:shd w:val="clear" w:color="auto" w:fill="auto"/>
            <w:hideMark/>
          </w:tcPr>
          <w:p w14:paraId="60658022"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2.1 : Les dialogues entre les acteurs politiques et avec le gouvernement burundais ont lieu régulièrement et produisent des résultats communs.</w:t>
            </w:r>
          </w:p>
        </w:tc>
        <w:tc>
          <w:tcPr>
            <w:tcW w:w="2115" w:type="dxa"/>
            <w:vMerge w:val="restart"/>
            <w:shd w:val="clear" w:color="auto" w:fill="auto"/>
            <w:hideMark/>
          </w:tcPr>
          <w:p w14:paraId="30F1794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A2.1.1. Sessions de dialogue</w:t>
            </w:r>
          </w:p>
        </w:tc>
        <w:tc>
          <w:tcPr>
            <w:tcW w:w="4610" w:type="dxa"/>
            <w:shd w:val="clear" w:color="auto" w:fill="auto"/>
            <w:hideMark/>
          </w:tcPr>
          <w:p w14:paraId="3AC7A7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A2.1.1. Soutenir  les cadres de dialogue multi-acteurs définis dans la résolution Ngozi, ainsi que les cadres de dialogue politique maintenus par le ministère de l'Intérieur et leur extension aux structures décentralisées (provinces et communes), et le FDP: 1jr d'atelier</w:t>
            </w:r>
          </w:p>
        </w:tc>
        <w:tc>
          <w:tcPr>
            <w:tcW w:w="417" w:type="dxa"/>
            <w:shd w:val="clear" w:color="auto" w:fill="auto"/>
            <w:hideMark/>
          </w:tcPr>
          <w:p w14:paraId="1865ADF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0FCF81D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26B42BC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8FF7C7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2C574DB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2C4CD61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ABF340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43C0FC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FFFF"/>
            <w:hideMark/>
          </w:tcPr>
          <w:p w14:paraId="7F35AB8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901D49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644DB5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A9FDE4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21EB6F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4F5ECB1F"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10 773  </w:t>
            </w:r>
          </w:p>
        </w:tc>
      </w:tr>
      <w:tr w:rsidR="00A3274A" w:rsidRPr="00EF5BD0" w14:paraId="3BA195C7" w14:textId="77777777" w:rsidTr="00A3274A">
        <w:trPr>
          <w:trHeight w:val="139"/>
        </w:trPr>
        <w:tc>
          <w:tcPr>
            <w:tcW w:w="1917" w:type="dxa"/>
            <w:vMerge/>
            <w:vAlign w:val="center"/>
            <w:hideMark/>
          </w:tcPr>
          <w:p w14:paraId="4B2DA1A5"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309F071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5FE0E20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A2.1.3.b. En collaboration avec la primature ou Mininter, organiser un colloque national annuel des grands leaders d'opinion sur la cohabitation pacifique, la consolidation de la paix pour une démocratie inclusive (50 personnes)</w:t>
            </w:r>
          </w:p>
        </w:tc>
        <w:tc>
          <w:tcPr>
            <w:tcW w:w="417" w:type="dxa"/>
            <w:shd w:val="clear" w:color="000000" w:fill="FFC000"/>
            <w:hideMark/>
          </w:tcPr>
          <w:p w14:paraId="514B7E4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83961C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2C6921A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83BED8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0E13942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2026922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02C1A5A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59FDD0F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945610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75A832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09B5EB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38E75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3B2FCE6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BEL-BURUNDI BWPD NIMD</w:t>
            </w:r>
          </w:p>
        </w:tc>
        <w:tc>
          <w:tcPr>
            <w:tcW w:w="954" w:type="dxa"/>
            <w:shd w:val="clear" w:color="auto" w:fill="auto"/>
            <w:vAlign w:val="center"/>
            <w:hideMark/>
          </w:tcPr>
          <w:p w14:paraId="340EECDC"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42 040  </w:t>
            </w:r>
          </w:p>
        </w:tc>
      </w:tr>
      <w:tr w:rsidR="00A3274A" w:rsidRPr="00EF5BD0" w14:paraId="778942F5" w14:textId="77777777" w:rsidTr="00A3274A">
        <w:trPr>
          <w:trHeight w:val="139"/>
        </w:trPr>
        <w:tc>
          <w:tcPr>
            <w:tcW w:w="1917" w:type="dxa"/>
            <w:vMerge/>
            <w:vAlign w:val="center"/>
            <w:hideMark/>
          </w:tcPr>
          <w:p w14:paraId="40FBD5A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1841144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13B3DE1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A2.1.4. En collaboration avec les Gouverneurs de province, organiser des réunions d'appropriation des conclusions du colloque national par les leaders d'opinion  </w:t>
            </w:r>
          </w:p>
        </w:tc>
        <w:tc>
          <w:tcPr>
            <w:tcW w:w="417" w:type="dxa"/>
            <w:shd w:val="clear" w:color="000000" w:fill="FFFFFF"/>
            <w:hideMark/>
          </w:tcPr>
          <w:p w14:paraId="765C846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64F5D8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3DC3A0E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1500220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4126EA5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0CF81BF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255593D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F15996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FFFF"/>
            <w:hideMark/>
          </w:tcPr>
          <w:p w14:paraId="5AAA559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FFFF"/>
            <w:hideMark/>
          </w:tcPr>
          <w:p w14:paraId="53A2478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139F502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1D1B10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4481CF88"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BEL-BURUNDI BWPD NIMD</w:t>
            </w:r>
          </w:p>
        </w:tc>
        <w:tc>
          <w:tcPr>
            <w:tcW w:w="954" w:type="dxa"/>
            <w:shd w:val="clear" w:color="auto" w:fill="auto"/>
            <w:vAlign w:val="center"/>
            <w:hideMark/>
          </w:tcPr>
          <w:p w14:paraId="43037AC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33 000  </w:t>
            </w:r>
          </w:p>
        </w:tc>
      </w:tr>
      <w:tr w:rsidR="00A3274A" w:rsidRPr="00EF5BD0" w14:paraId="626A7EC9" w14:textId="77777777" w:rsidTr="00A3274A">
        <w:trPr>
          <w:trHeight w:val="219"/>
        </w:trPr>
        <w:tc>
          <w:tcPr>
            <w:tcW w:w="1917" w:type="dxa"/>
            <w:shd w:val="clear" w:color="000000" w:fill="000000"/>
            <w:hideMark/>
          </w:tcPr>
          <w:p w14:paraId="67DAB314"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vAlign w:val="bottom"/>
            <w:hideMark/>
          </w:tcPr>
          <w:p w14:paraId="4C14ECB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vAlign w:val="bottom"/>
            <w:hideMark/>
          </w:tcPr>
          <w:p w14:paraId="59C927C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vAlign w:val="bottom"/>
            <w:hideMark/>
          </w:tcPr>
          <w:p w14:paraId="1506EEB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vAlign w:val="bottom"/>
            <w:hideMark/>
          </w:tcPr>
          <w:p w14:paraId="4600563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vAlign w:val="bottom"/>
            <w:hideMark/>
          </w:tcPr>
          <w:p w14:paraId="15F777B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51B92A4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vAlign w:val="bottom"/>
            <w:hideMark/>
          </w:tcPr>
          <w:p w14:paraId="4797F4D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vAlign w:val="bottom"/>
            <w:hideMark/>
          </w:tcPr>
          <w:p w14:paraId="2B985FB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vAlign w:val="bottom"/>
            <w:hideMark/>
          </w:tcPr>
          <w:p w14:paraId="0F9C4B7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7A06F9B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vAlign w:val="bottom"/>
            <w:hideMark/>
          </w:tcPr>
          <w:p w14:paraId="78A73FF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vAlign w:val="bottom"/>
            <w:hideMark/>
          </w:tcPr>
          <w:p w14:paraId="434CE5A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78122CA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6C48C4D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3EB507D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vAlign w:val="bottom"/>
            <w:hideMark/>
          </w:tcPr>
          <w:p w14:paraId="41FB57F7"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85 813  </w:t>
            </w:r>
          </w:p>
        </w:tc>
      </w:tr>
      <w:tr w:rsidR="00A3274A" w:rsidRPr="00EF5BD0" w14:paraId="48FB620C" w14:textId="77777777" w:rsidTr="00A3274A">
        <w:trPr>
          <w:trHeight w:val="1037"/>
        </w:trPr>
        <w:tc>
          <w:tcPr>
            <w:tcW w:w="1917" w:type="dxa"/>
            <w:vMerge w:val="restart"/>
            <w:shd w:val="clear" w:color="auto" w:fill="auto"/>
            <w:hideMark/>
          </w:tcPr>
          <w:p w14:paraId="2A8EDFFA"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 2.2 : Les acteurs participants disposent des compétences, des connaissances et des idées nécessaires pour participer au dialogue </w:t>
            </w:r>
            <w:r w:rsidRPr="00911768">
              <w:rPr>
                <w:rFonts w:ascii="Times New Roman" w:eastAsia="Times New Roman" w:hAnsi="Times New Roman" w:cs="Times New Roman"/>
                <w:b/>
                <w:bCs/>
                <w:color w:val="000000"/>
                <w:sz w:val="18"/>
                <w:szCs w:val="18"/>
                <w:lang w:val="fr-FR"/>
              </w:rPr>
              <w:lastRenderedPageBreak/>
              <w:t>sur les questions politiques et sur le cadre électoral et politique.</w:t>
            </w:r>
          </w:p>
        </w:tc>
        <w:tc>
          <w:tcPr>
            <w:tcW w:w="2115" w:type="dxa"/>
            <w:vMerge w:val="restart"/>
            <w:shd w:val="clear" w:color="auto" w:fill="auto"/>
            <w:hideMark/>
          </w:tcPr>
          <w:p w14:paraId="4633566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lastRenderedPageBreak/>
              <w:t>A2.2.1 Soutien technique</w:t>
            </w:r>
          </w:p>
        </w:tc>
        <w:tc>
          <w:tcPr>
            <w:tcW w:w="4610" w:type="dxa"/>
            <w:shd w:val="clear" w:color="auto" w:fill="auto"/>
            <w:hideMark/>
          </w:tcPr>
          <w:p w14:paraId="3A87A74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A2.2.1a Soutenir techniquement les partis politiques par la formation au dialogue et la formulation des recommandations à proposer au Président de la République et au Ministre de l'Intérieur en vue de contribuer à l'amélioration de la vie socio-politique et économique de la communauté burundaise.</w:t>
            </w:r>
          </w:p>
        </w:tc>
        <w:tc>
          <w:tcPr>
            <w:tcW w:w="417" w:type="dxa"/>
            <w:shd w:val="clear" w:color="000000" w:fill="FFFFFF"/>
            <w:hideMark/>
          </w:tcPr>
          <w:p w14:paraId="01294F8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28DC7D6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2DC3BB5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48F63B8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2955859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50F3AD9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2F57D76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7F001F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2D88D96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7609B28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D133BB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5E69E6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4B57441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6DDCC195"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10 172  </w:t>
            </w:r>
          </w:p>
        </w:tc>
      </w:tr>
      <w:tr w:rsidR="00A3274A" w:rsidRPr="00EF5BD0" w14:paraId="2CB6CF65" w14:textId="77777777" w:rsidTr="00A3274A">
        <w:trPr>
          <w:trHeight w:val="981"/>
        </w:trPr>
        <w:tc>
          <w:tcPr>
            <w:tcW w:w="1917" w:type="dxa"/>
            <w:vMerge/>
            <w:vAlign w:val="center"/>
            <w:hideMark/>
          </w:tcPr>
          <w:p w14:paraId="6EED360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1D3DC7C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66265AE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 A2.2.1b Mettre en place d'un système de suivi participatif,  évaluation et apprentissage de la mise en œuvre des recommandations proposées par les partis politiques et les autorités au niveau local et national, y compris à travers la méthodologie des entretiens et des tables rondes de l'ICB.</w:t>
            </w:r>
          </w:p>
        </w:tc>
        <w:tc>
          <w:tcPr>
            <w:tcW w:w="417" w:type="dxa"/>
            <w:shd w:val="clear" w:color="auto" w:fill="auto"/>
            <w:hideMark/>
          </w:tcPr>
          <w:p w14:paraId="687B78C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63D4A6E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7014ED5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DE256F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1F2ED6F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62F8783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7129F88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723045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40EB412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1C30043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91D58A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5E03B1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3646E10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5832B78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    </w:t>
            </w:r>
          </w:p>
        </w:tc>
      </w:tr>
      <w:tr w:rsidR="00A3274A" w:rsidRPr="00EF5BD0" w14:paraId="2E6B10F1" w14:textId="77777777" w:rsidTr="00A3274A">
        <w:trPr>
          <w:trHeight w:val="1586"/>
        </w:trPr>
        <w:tc>
          <w:tcPr>
            <w:tcW w:w="1917" w:type="dxa"/>
            <w:vMerge/>
            <w:vAlign w:val="center"/>
            <w:hideMark/>
          </w:tcPr>
          <w:p w14:paraId="7C3F0F02"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1A2FBE3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2.2.2 Formations et/ou sessions de coaching </w:t>
            </w:r>
          </w:p>
        </w:tc>
        <w:tc>
          <w:tcPr>
            <w:tcW w:w="4610" w:type="dxa"/>
            <w:shd w:val="clear" w:color="auto" w:fill="auto"/>
            <w:hideMark/>
          </w:tcPr>
          <w:p w14:paraId="34A0C21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 A2.2.2 Renforcer les capacités techniques et opérationnelles du FDP dans le processus de conception,  mise en œuvre et de suivi-évaluation des politiques publiques, dans la formation des leaders des partis politiques, des points focaux des partis politiques aux niveaux national, provincial et communal, et des membres des six commissions thématiques multipartites mis en place à Cibitoke le 2 decembre 2021 (atelier + frais de coaching) 4 ateliers de 3 jours chacun</w:t>
            </w:r>
          </w:p>
        </w:tc>
        <w:tc>
          <w:tcPr>
            <w:tcW w:w="417" w:type="dxa"/>
            <w:shd w:val="clear" w:color="000000" w:fill="FFC000"/>
            <w:hideMark/>
          </w:tcPr>
          <w:p w14:paraId="1643714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345CB69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63D5688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D17697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636E2E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2ACD4B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0B68A3C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85EFCF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F1AEE4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7354C7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2C2CC7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629DDC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F2DBCC9"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NIMD/CMI</w:t>
            </w:r>
          </w:p>
        </w:tc>
        <w:tc>
          <w:tcPr>
            <w:tcW w:w="954" w:type="dxa"/>
            <w:shd w:val="clear" w:color="000000" w:fill="FFFFFF"/>
            <w:vAlign w:val="center"/>
            <w:hideMark/>
          </w:tcPr>
          <w:p w14:paraId="48B04C47"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6 455  </w:t>
            </w:r>
          </w:p>
        </w:tc>
      </w:tr>
      <w:tr w:rsidR="00A3274A" w:rsidRPr="00EF5BD0" w14:paraId="26A7C029" w14:textId="77777777" w:rsidTr="00A3274A">
        <w:trPr>
          <w:trHeight w:val="490"/>
        </w:trPr>
        <w:tc>
          <w:tcPr>
            <w:tcW w:w="1917" w:type="dxa"/>
            <w:vMerge/>
            <w:vAlign w:val="center"/>
            <w:hideMark/>
          </w:tcPr>
          <w:p w14:paraId="5C75BC86"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2BCE4BC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xml:space="preserve">2.2.3 Lobby et plaidoyer </w:t>
            </w:r>
          </w:p>
        </w:tc>
        <w:tc>
          <w:tcPr>
            <w:tcW w:w="4610" w:type="dxa"/>
            <w:shd w:val="clear" w:color="auto" w:fill="auto"/>
            <w:hideMark/>
          </w:tcPr>
          <w:p w14:paraId="243CF43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  A2.2.3  Faires des Lobby et plaidoyer pour l'ouverture du FDP à l'adhésion de/ou à la collaboration avec des partis qui ne sont pas encore membres. </w:t>
            </w:r>
          </w:p>
        </w:tc>
        <w:tc>
          <w:tcPr>
            <w:tcW w:w="417" w:type="dxa"/>
            <w:shd w:val="clear" w:color="auto" w:fill="auto"/>
            <w:hideMark/>
          </w:tcPr>
          <w:p w14:paraId="5172D32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3D1B56D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5CDF172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7587EA9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7A4072C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157F61B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52D41F8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EC9DEB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11723BE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6708E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708EB2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C31A08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6E8AD85"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NIMD/CMI</w:t>
            </w:r>
          </w:p>
        </w:tc>
        <w:tc>
          <w:tcPr>
            <w:tcW w:w="954" w:type="dxa"/>
            <w:shd w:val="clear" w:color="000000" w:fill="FFFFFF"/>
            <w:vAlign w:val="center"/>
            <w:hideMark/>
          </w:tcPr>
          <w:p w14:paraId="775583A1"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    </w:t>
            </w:r>
          </w:p>
        </w:tc>
      </w:tr>
      <w:tr w:rsidR="00A3274A" w:rsidRPr="00EF5BD0" w14:paraId="0471CEDA" w14:textId="77777777" w:rsidTr="00A3274A">
        <w:trPr>
          <w:trHeight w:val="228"/>
        </w:trPr>
        <w:tc>
          <w:tcPr>
            <w:tcW w:w="1917" w:type="dxa"/>
            <w:shd w:val="clear" w:color="000000" w:fill="000000"/>
            <w:hideMark/>
          </w:tcPr>
          <w:p w14:paraId="0C83A45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vAlign w:val="bottom"/>
            <w:hideMark/>
          </w:tcPr>
          <w:p w14:paraId="3145317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vAlign w:val="bottom"/>
            <w:hideMark/>
          </w:tcPr>
          <w:p w14:paraId="468880F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vAlign w:val="bottom"/>
            <w:hideMark/>
          </w:tcPr>
          <w:p w14:paraId="7DC88DE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vAlign w:val="bottom"/>
            <w:hideMark/>
          </w:tcPr>
          <w:p w14:paraId="11F8884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vAlign w:val="bottom"/>
            <w:hideMark/>
          </w:tcPr>
          <w:p w14:paraId="06919A1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1AD0121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vAlign w:val="bottom"/>
            <w:hideMark/>
          </w:tcPr>
          <w:p w14:paraId="3B537BC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vAlign w:val="bottom"/>
            <w:hideMark/>
          </w:tcPr>
          <w:p w14:paraId="0CC0B00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vAlign w:val="bottom"/>
            <w:hideMark/>
          </w:tcPr>
          <w:p w14:paraId="572DC67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1224DAB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vAlign w:val="bottom"/>
            <w:hideMark/>
          </w:tcPr>
          <w:p w14:paraId="2AE6890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vAlign w:val="bottom"/>
            <w:hideMark/>
          </w:tcPr>
          <w:p w14:paraId="6922908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6E0F687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vAlign w:val="bottom"/>
            <w:hideMark/>
          </w:tcPr>
          <w:p w14:paraId="6027FD9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79377738"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vAlign w:val="bottom"/>
            <w:hideMark/>
          </w:tcPr>
          <w:p w14:paraId="5FE58D7D"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16 627  </w:t>
            </w:r>
          </w:p>
        </w:tc>
      </w:tr>
      <w:tr w:rsidR="00A3274A" w:rsidRPr="00EF5BD0" w14:paraId="79B63591" w14:textId="77777777" w:rsidTr="00A3274A">
        <w:trPr>
          <w:trHeight w:val="743"/>
        </w:trPr>
        <w:tc>
          <w:tcPr>
            <w:tcW w:w="1917" w:type="dxa"/>
            <w:vMerge w:val="restart"/>
            <w:shd w:val="clear" w:color="auto" w:fill="auto"/>
            <w:hideMark/>
          </w:tcPr>
          <w:p w14:paraId="1D193DE4"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 2.3  Les voix des jeunes hommes et femmes en politique, des citoyens et des communautés sont représentées dans les différents forums de dialogue.</w:t>
            </w:r>
          </w:p>
        </w:tc>
        <w:tc>
          <w:tcPr>
            <w:tcW w:w="2115" w:type="dxa"/>
            <w:vMerge w:val="restart"/>
            <w:shd w:val="clear" w:color="auto" w:fill="auto"/>
            <w:hideMark/>
          </w:tcPr>
          <w:p w14:paraId="6C680C3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A2.3.1. Echanges des jeunes multipartites </w:t>
            </w:r>
          </w:p>
        </w:tc>
        <w:tc>
          <w:tcPr>
            <w:tcW w:w="4610" w:type="dxa"/>
            <w:shd w:val="clear" w:color="auto" w:fill="auto"/>
            <w:hideMark/>
          </w:tcPr>
          <w:p w14:paraId="6EAAC47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A2.3.1. Organiser des ateliers d'échanges  avec des jeunes affiliés aux partis politiques quant à leur participation et considération aux seins de leurs partis politques  et dans les fora de dialogue: 1 atelier national et 5 provinciaux de 2 jours</w:t>
            </w:r>
          </w:p>
        </w:tc>
        <w:tc>
          <w:tcPr>
            <w:tcW w:w="417" w:type="dxa"/>
            <w:shd w:val="clear" w:color="000000" w:fill="FFFFFF"/>
            <w:hideMark/>
          </w:tcPr>
          <w:p w14:paraId="28402BE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40E0FD9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126D0D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7CAFA9E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7A16F94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5E65451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E18AE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3DC8D2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F205D3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17A4384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210ECF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E5F976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243FEB77"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REJA-NIMD</w:t>
            </w:r>
          </w:p>
        </w:tc>
        <w:tc>
          <w:tcPr>
            <w:tcW w:w="954" w:type="dxa"/>
            <w:shd w:val="clear" w:color="000000" w:fill="FFFFFF"/>
            <w:vAlign w:val="center"/>
            <w:hideMark/>
          </w:tcPr>
          <w:p w14:paraId="4338EBAD"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w:t>
            </w:r>
          </w:p>
        </w:tc>
      </w:tr>
      <w:tr w:rsidR="00A3274A" w:rsidRPr="00EF5BD0" w14:paraId="36923A15" w14:textId="77777777" w:rsidTr="00A3274A">
        <w:trPr>
          <w:trHeight w:val="1195"/>
        </w:trPr>
        <w:tc>
          <w:tcPr>
            <w:tcW w:w="1917" w:type="dxa"/>
            <w:vMerge/>
            <w:vAlign w:val="center"/>
            <w:hideMark/>
          </w:tcPr>
          <w:p w14:paraId="5E32073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404AC50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0F75A2C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A2.3.1.a. Ateliers d'échanges provinciaux (5) pour Concevoir des mécanismes d’échange et des actions de sensibilisation en vue de lutter contre la manipulation des jeunes et amener ces derniers à jouer un rôle de premier plan dans la prévention des conflits et des violences politiques et électorales avant, pendant et après les élections de 2025-2025</w:t>
            </w:r>
          </w:p>
        </w:tc>
        <w:tc>
          <w:tcPr>
            <w:tcW w:w="417" w:type="dxa"/>
            <w:shd w:val="clear" w:color="000000" w:fill="FFC000"/>
            <w:hideMark/>
          </w:tcPr>
          <w:p w14:paraId="2EF2116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1792218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C1C85E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D4A4E5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36ACC5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1D23EA4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05DE50E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CD346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103146C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D75969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31EE5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34C37F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E0BAF0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REJA-NIMD</w:t>
            </w:r>
          </w:p>
        </w:tc>
        <w:tc>
          <w:tcPr>
            <w:tcW w:w="954" w:type="dxa"/>
            <w:shd w:val="clear" w:color="000000" w:fill="FFFFFF"/>
            <w:vAlign w:val="center"/>
            <w:hideMark/>
          </w:tcPr>
          <w:p w14:paraId="0147B25D"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27 839  </w:t>
            </w:r>
          </w:p>
        </w:tc>
      </w:tr>
      <w:tr w:rsidR="00A3274A" w:rsidRPr="00EF5BD0" w14:paraId="35AC44B5" w14:textId="77777777" w:rsidTr="00A3274A">
        <w:trPr>
          <w:trHeight w:val="869"/>
        </w:trPr>
        <w:tc>
          <w:tcPr>
            <w:tcW w:w="1917" w:type="dxa"/>
            <w:vMerge/>
            <w:vAlign w:val="center"/>
            <w:hideMark/>
          </w:tcPr>
          <w:p w14:paraId="22CAF61F"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5F50D4E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3B05AE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A2.3.1.b. Atelier d'échange national pour Sensibiliser les décideurs et les partis politiques pour améliorer le positionnement des jeunes en vue de leur participation comme candidats pendant les élections de 2025-2027</w:t>
            </w:r>
          </w:p>
        </w:tc>
        <w:tc>
          <w:tcPr>
            <w:tcW w:w="417" w:type="dxa"/>
            <w:shd w:val="clear" w:color="000000" w:fill="FFFFFF"/>
            <w:hideMark/>
          </w:tcPr>
          <w:p w14:paraId="63F9423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6C6DB70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481293B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0BB9416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D0FAEB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3DAD89B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45888A3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22B594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40D48A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CA8B6D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F7B01F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D0637F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29EE304"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CIDEP-NIMD</w:t>
            </w:r>
          </w:p>
        </w:tc>
        <w:tc>
          <w:tcPr>
            <w:tcW w:w="954" w:type="dxa"/>
            <w:shd w:val="clear" w:color="000000" w:fill="FFFFFF"/>
            <w:vAlign w:val="center"/>
            <w:hideMark/>
          </w:tcPr>
          <w:p w14:paraId="7477DED3"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8 144  </w:t>
            </w:r>
          </w:p>
        </w:tc>
      </w:tr>
      <w:tr w:rsidR="00A3274A" w:rsidRPr="00EF5BD0" w14:paraId="4AFD4B19" w14:textId="77777777" w:rsidTr="00A3274A">
        <w:trPr>
          <w:trHeight w:val="1650"/>
        </w:trPr>
        <w:tc>
          <w:tcPr>
            <w:tcW w:w="1917" w:type="dxa"/>
            <w:vMerge/>
            <w:vAlign w:val="center"/>
            <w:hideMark/>
          </w:tcPr>
          <w:p w14:paraId="2CD4979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restart"/>
            <w:shd w:val="clear" w:color="auto" w:fill="auto"/>
            <w:hideMark/>
          </w:tcPr>
          <w:p w14:paraId="72C757E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A2.3.2. Réunions de coaching</w:t>
            </w:r>
          </w:p>
        </w:tc>
        <w:tc>
          <w:tcPr>
            <w:tcW w:w="4610" w:type="dxa"/>
            <w:shd w:val="clear" w:color="auto" w:fill="auto"/>
            <w:hideMark/>
          </w:tcPr>
          <w:p w14:paraId="6484755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A2.3.2. Réunir les partis politiques, les responsables administratifs, les leaders communautaires et les OSC pour renforcer leur capacité à se mobiliser, à définir des agendas et des intérêts et à s'engager efficacement  à différents niveaux pour discuter et proposer des solutions aux problèmes socio-économiques qui affligent la communauté à la base  (lien avec BICIII, CENAP et ICB): atelier + frais de coach 1 atelier national et 5 provinciaux de 3 jours</w:t>
            </w:r>
          </w:p>
        </w:tc>
        <w:tc>
          <w:tcPr>
            <w:tcW w:w="417" w:type="dxa"/>
            <w:shd w:val="clear" w:color="000000" w:fill="FFFFFF"/>
            <w:hideMark/>
          </w:tcPr>
          <w:p w14:paraId="4897440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6E19B92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6BE1DE1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53131EF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1F9772C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101BD52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16CBFE6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AEA62D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7CDFCF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1197E0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A049B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DBB1B4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E12492F"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4E8E7A79"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w:t>
            </w:r>
          </w:p>
        </w:tc>
      </w:tr>
      <w:tr w:rsidR="00A3274A" w:rsidRPr="00EF5BD0" w14:paraId="74ED2764" w14:textId="77777777" w:rsidTr="00A3274A">
        <w:trPr>
          <w:trHeight w:val="1135"/>
        </w:trPr>
        <w:tc>
          <w:tcPr>
            <w:tcW w:w="1917" w:type="dxa"/>
            <w:vMerge/>
            <w:vAlign w:val="center"/>
            <w:hideMark/>
          </w:tcPr>
          <w:p w14:paraId="7236E16F"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3E7359F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6A4FD95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A2.3.2.a. Ateliers provinciaux des partis politiques,responsables administratifs,  leaders communautaires et  OSC pour renforcer leur capacité à se mobiliser, à définir des agendas et des intérêts et à s'engager efficacement  à différents niveaux pour discuter et proposer des solutions aux problèmes socio-économiques </w:t>
            </w:r>
          </w:p>
        </w:tc>
        <w:tc>
          <w:tcPr>
            <w:tcW w:w="417" w:type="dxa"/>
            <w:shd w:val="clear" w:color="000000" w:fill="FFFFFF"/>
            <w:hideMark/>
          </w:tcPr>
          <w:p w14:paraId="14527CD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3B8BCC2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7D22ABC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3626094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6C3EC3F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3EF1503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4A9E6A1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A593C6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0C6F879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2DB1D14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9B72CD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3404B5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49604A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CIDEP-NIMD</w:t>
            </w:r>
          </w:p>
        </w:tc>
        <w:tc>
          <w:tcPr>
            <w:tcW w:w="954" w:type="dxa"/>
            <w:shd w:val="clear" w:color="000000" w:fill="FFFFFF"/>
            <w:vAlign w:val="center"/>
            <w:hideMark/>
          </w:tcPr>
          <w:p w14:paraId="3A3DEE56"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49 772  </w:t>
            </w:r>
          </w:p>
        </w:tc>
      </w:tr>
      <w:tr w:rsidR="00A3274A" w:rsidRPr="00EF5BD0" w14:paraId="45516D4A" w14:textId="77777777" w:rsidTr="00A3274A">
        <w:trPr>
          <w:trHeight w:val="1139"/>
        </w:trPr>
        <w:tc>
          <w:tcPr>
            <w:tcW w:w="1917" w:type="dxa"/>
            <w:vMerge/>
            <w:vAlign w:val="center"/>
            <w:hideMark/>
          </w:tcPr>
          <w:p w14:paraId="490D127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158AA29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028B832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A2.3.2.b. Atelier national des partis politiques,responsables administratifs,  leaders communautaires et  OSC pour renforcer leur capacité à se mobiliser, à définir des agendas et des intérêts et à s'engager efficacement  à différents niveaux pour discuter et proposer des solutions aux problèmes socio-économiques </w:t>
            </w:r>
          </w:p>
        </w:tc>
        <w:tc>
          <w:tcPr>
            <w:tcW w:w="417" w:type="dxa"/>
            <w:shd w:val="clear" w:color="000000" w:fill="FFFFFF"/>
            <w:hideMark/>
          </w:tcPr>
          <w:p w14:paraId="3D320C1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4405867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2303C2F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625A773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439D10E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7B9EABD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1134025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34BBC4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5B82810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89CBAD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FB8A70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9EC274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3ABE57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CIDEP-NIMD</w:t>
            </w:r>
          </w:p>
        </w:tc>
        <w:tc>
          <w:tcPr>
            <w:tcW w:w="954" w:type="dxa"/>
            <w:shd w:val="clear" w:color="000000" w:fill="FFFFFF"/>
            <w:vAlign w:val="center"/>
            <w:hideMark/>
          </w:tcPr>
          <w:p w14:paraId="448F3783"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13 811  </w:t>
            </w:r>
          </w:p>
        </w:tc>
      </w:tr>
      <w:tr w:rsidR="00A3274A" w:rsidRPr="00EF5BD0" w14:paraId="3980E499" w14:textId="77777777" w:rsidTr="00A3274A">
        <w:trPr>
          <w:trHeight w:val="887"/>
        </w:trPr>
        <w:tc>
          <w:tcPr>
            <w:tcW w:w="1917" w:type="dxa"/>
            <w:vMerge/>
            <w:vAlign w:val="center"/>
            <w:hideMark/>
          </w:tcPr>
          <w:p w14:paraId="5FDA7B6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5BBD489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A2.3.3 Initiatives de lobbying et de plaidoyer </w:t>
            </w:r>
          </w:p>
        </w:tc>
        <w:tc>
          <w:tcPr>
            <w:tcW w:w="4610" w:type="dxa"/>
            <w:shd w:val="clear" w:color="auto" w:fill="auto"/>
            <w:hideMark/>
          </w:tcPr>
          <w:p w14:paraId="0796430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A2.3.3       Entreprendre des initiatives de lobbying et de plaidoyer  vers les acteurs politiques clés pour que les voix des jeunes hommes et femmes politiques, des citoyens et des leaders communautaires soient entendues (BIC III, CENAP et ICB).</w:t>
            </w:r>
          </w:p>
        </w:tc>
        <w:tc>
          <w:tcPr>
            <w:tcW w:w="417" w:type="dxa"/>
            <w:shd w:val="clear" w:color="000000" w:fill="FFFFFF"/>
            <w:hideMark/>
          </w:tcPr>
          <w:p w14:paraId="2A959D7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48C77E4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2843662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3CB26DD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242B8C4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35B1066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634EDD3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388FA8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19007A7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4267FF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AAE8AE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5147D7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E1E1020" w14:textId="77777777" w:rsidR="00A3274A" w:rsidRPr="00911768" w:rsidRDefault="00A3274A" w:rsidP="006C4B1E">
            <w:pPr>
              <w:spacing w:after="0" w:line="240" w:lineRule="auto"/>
              <w:jc w:val="center"/>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w:t>
            </w:r>
          </w:p>
        </w:tc>
        <w:tc>
          <w:tcPr>
            <w:tcW w:w="954" w:type="dxa"/>
            <w:shd w:val="clear" w:color="000000" w:fill="FFFFFF"/>
            <w:vAlign w:val="center"/>
            <w:hideMark/>
          </w:tcPr>
          <w:p w14:paraId="625D89EB"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911768">
              <w:rPr>
                <w:rFonts w:ascii="Times New Roman" w:eastAsia="Times New Roman" w:hAnsi="Times New Roman" w:cs="Times New Roman"/>
                <w:b/>
                <w:bCs/>
                <w:color w:val="FF0000"/>
                <w:sz w:val="18"/>
                <w:szCs w:val="18"/>
                <w:lang w:val="fr-FR"/>
              </w:rPr>
              <w:t xml:space="preserve">              </w:t>
            </w:r>
            <w:r w:rsidRPr="00EF5BD0">
              <w:rPr>
                <w:rFonts w:ascii="Times New Roman" w:eastAsia="Times New Roman" w:hAnsi="Times New Roman" w:cs="Times New Roman"/>
                <w:b/>
                <w:bCs/>
                <w:color w:val="FF0000"/>
                <w:sz w:val="18"/>
                <w:szCs w:val="18"/>
              </w:rPr>
              <w:t xml:space="preserve">-    </w:t>
            </w:r>
          </w:p>
        </w:tc>
      </w:tr>
      <w:tr w:rsidR="00A3274A" w:rsidRPr="00EF5BD0" w14:paraId="4E82CBC2" w14:textId="77777777" w:rsidTr="00A3274A">
        <w:trPr>
          <w:trHeight w:val="1833"/>
        </w:trPr>
        <w:tc>
          <w:tcPr>
            <w:tcW w:w="1917" w:type="dxa"/>
            <w:vMerge/>
            <w:vAlign w:val="center"/>
            <w:hideMark/>
          </w:tcPr>
          <w:p w14:paraId="20CE8E76"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2F3C064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xml:space="preserve">2.3.4 Dialogues multipartites </w:t>
            </w:r>
          </w:p>
        </w:tc>
        <w:tc>
          <w:tcPr>
            <w:tcW w:w="4610" w:type="dxa"/>
            <w:shd w:val="clear" w:color="auto" w:fill="auto"/>
            <w:hideMark/>
          </w:tcPr>
          <w:p w14:paraId="2CC9C19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A2.3.4a Organiser des dialogues multiacteurs à l'intention des partis politiques,  responsables administratifs,  responsables communautaires et  leaders des OSC à différents niveaux (national, provincial et communal) pour discuter des priorités politiques du pays (y compris le code électoral, le code de conduite des partis politiques pendant la période électorale) et élaborer une résolution commune pour améliorer la situation (potentiellement lié aux activités BICIII, CENAP et ICB): 2 ateliers nationaux de 2 jrs chacun</w:t>
            </w:r>
          </w:p>
        </w:tc>
        <w:tc>
          <w:tcPr>
            <w:tcW w:w="417" w:type="dxa"/>
            <w:shd w:val="clear" w:color="000000" w:fill="FFC000"/>
            <w:hideMark/>
          </w:tcPr>
          <w:p w14:paraId="531471A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52581B0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1911F12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05E1B1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1541659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08E2585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6E632A2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6D55681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00865A1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3D3A552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1E1B99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B99EE4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6B564559"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APB-NIMD</w:t>
            </w:r>
          </w:p>
        </w:tc>
        <w:tc>
          <w:tcPr>
            <w:tcW w:w="954" w:type="dxa"/>
            <w:shd w:val="clear" w:color="000000" w:fill="FFFFFF"/>
            <w:vAlign w:val="center"/>
            <w:hideMark/>
          </w:tcPr>
          <w:p w14:paraId="67AF6356"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8 491  </w:t>
            </w:r>
          </w:p>
        </w:tc>
      </w:tr>
      <w:tr w:rsidR="00A3274A" w:rsidRPr="00EF5BD0" w14:paraId="5BCE6798" w14:textId="77777777" w:rsidTr="00A3274A">
        <w:trPr>
          <w:trHeight w:val="1668"/>
        </w:trPr>
        <w:tc>
          <w:tcPr>
            <w:tcW w:w="1917" w:type="dxa"/>
            <w:vMerge/>
            <w:vAlign w:val="center"/>
            <w:hideMark/>
          </w:tcPr>
          <w:p w14:paraId="0ACFB27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5CFD27C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auto" w:fill="auto"/>
            <w:hideMark/>
          </w:tcPr>
          <w:p w14:paraId="76ED281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A2.3.4b. Plaidoyer pour changer certains articles non favorables à la transparence électorale, aux élections démocratiques crédibles, et à la participation des jeunes et des femmes . Deux sous activités:</w:t>
            </w:r>
            <w:r w:rsidRPr="00911768">
              <w:rPr>
                <w:rFonts w:ascii="Times New Roman" w:eastAsia="Times New Roman" w:hAnsi="Times New Roman" w:cs="Times New Roman"/>
                <w:color w:val="000000"/>
                <w:sz w:val="18"/>
                <w:szCs w:val="18"/>
                <w:lang w:val="fr-FR"/>
              </w:rPr>
              <w:br/>
              <w:t xml:space="preserve">(i)Enrichir le code électoral pour qu'il soit plus inclusif et partificipatif </w:t>
            </w:r>
            <w:r w:rsidRPr="00911768">
              <w:rPr>
                <w:rFonts w:ascii="Times New Roman" w:eastAsia="Times New Roman" w:hAnsi="Times New Roman" w:cs="Times New Roman"/>
                <w:color w:val="000000"/>
                <w:sz w:val="18"/>
                <w:szCs w:val="18"/>
                <w:lang w:val="fr-FR"/>
              </w:rPr>
              <w:br/>
              <w:t>(ii) Sensibliser les membres du Parlement et du Sénat  sur les amendements proposés dans le code électoral</w:t>
            </w:r>
          </w:p>
        </w:tc>
        <w:tc>
          <w:tcPr>
            <w:tcW w:w="417" w:type="dxa"/>
            <w:shd w:val="clear" w:color="000000" w:fill="FFC000"/>
            <w:hideMark/>
          </w:tcPr>
          <w:p w14:paraId="03279F7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221CAEF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4170BEF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1D5B62B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5E72E3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20E5F4F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30F3658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048B801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76BD5F6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5A01A79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C88310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FCE21E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01F76986"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APB-NIMD</w:t>
            </w:r>
          </w:p>
        </w:tc>
        <w:tc>
          <w:tcPr>
            <w:tcW w:w="954" w:type="dxa"/>
            <w:shd w:val="clear" w:color="000000" w:fill="FFFFFF"/>
            <w:vAlign w:val="center"/>
            <w:hideMark/>
          </w:tcPr>
          <w:p w14:paraId="0B97DB8D"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9 183  </w:t>
            </w:r>
          </w:p>
        </w:tc>
      </w:tr>
      <w:tr w:rsidR="00A3274A" w:rsidRPr="00EF5BD0" w14:paraId="59F52FEF" w14:textId="77777777" w:rsidTr="00A3274A">
        <w:trPr>
          <w:trHeight w:val="240"/>
        </w:trPr>
        <w:tc>
          <w:tcPr>
            <w:tcW w:w="1917" w:type="dxa"/>
            <w:shd w:val="clear" w:color="000000" w:fill="000000"/>
            <w:noWrap/>
            <w:hideMark/>
          </w:tcPr>
          <w:p w14:paraId="18692BF8"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noWrap/>
            <w:vAlign w:val="bottom"/>
            <w:hideMark/>
          </w:tcPr>
          <w:p w14:paraId="15C89A0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noWrap/>
            <w:vAlign w:val="bottom"/>
            <w:hideMark/>
          </w:tcPr>
          <w:p w14:paraId="4BC96BE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noWrap/>
            <w:vAlign w:val="bottom"/>
            <w:hideMark/>
          </w:tcPr>
          <w:p w14:paraId="093CB48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noWrap/>
            <w:vAlign w:val="bottom"/>
            <w:hideMark/>
          </w:tcPr>
          <w:p w14:paraId="78E6DA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4B4B5FE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25AB366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3452CF3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67E3EA2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2D9B12C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312CBEC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noWrap/>
            <w:vAlign w:val="bottom"/>
            <w:hideMark/>
          </w:tcPr>
          <w:p w14:paraId="1CA09C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noWrap/>
            <w:vAlign w:val="bottom"/>
            <w:hideMark/>
          </w:tcPr>
          <w:p w14:paraId="5892A0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0C164C1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4E72AF8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noWrap/>
            <w:vAlign w:val="center"/>
            <w:hideMark/>
          </w:tcPr>
          <w:p w14:paraId="20C3BFD5"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noWrap/>
            <w:vAlign w:val="bottom"/>
            <w:hideMark/>
          </w:tcPr>
          <w:p w14:paraId="10A30B4C"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117 240  </w:t>
            </w:r>
          </w:p>
        </w:tc>
      </w:tr>
      <w:tr w:rsidR="00A3274A" w:rsidRPr="00EF5BD0" w14:paraId="5D43B460" w14:textId="77777777" w:rsidTr="00A3274A">
        <w:trPr>
          <w:trHeight w:val="240"/>
        </w:trPr>
        <w:tc>
          <w:tcPr>
            <w:tcW w:w="1917" w:type="dxa"/>
            <w:shd w:val="clear" w:color="000000" w:fill="ED7D31"/>
            <w:noWrap/>
            <w:hideMark/>
          </w:tcPr>
          <w:p w14:paraId="2E3CCF0C"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Tot OLT2</w:t>
            </w:r>
          </w:p>
        </w:tc>
        <w:tc>
          <w:tcPr>
            <w:tcW w:w="2115" w:type="dxa"/>
            <w:shd w:val="clear" w:color="000000" w:fill="ED7D31"/>
            <w:noWrap/>
            <w:vAlign w:val="bottom"/>
            <w:hideMark/>
          </w:tcPr>
          <w:p w14:paraId="6DDFD66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ED7D31"/>
            <w:noWrap/>
            <w:vAlign w:val="bottom"/>
            <w:hideMark/>
          </w:tcPr>
          <w:p w14:paraId="3F31EFF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ED7D31"/>
            <w:noWrap/>
            <w:vAlign w:val="bottom"/>
            <w:hideMark/>
          </w:tcPr>
          <w:p w14:paraId="79D06F0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ED7D31"/>
            <w:noWrap/>
            <w:vAlign w:val="bottom"/>
            <w:hideMark/>
          </w:tcPr>
          <w:p w14:paraId="4C4099F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noWrap/>
            <w:vAlign w:val="bottom"/>
            <w:hideMark/>
          </w:tcPr>
          <w:p w14:paraId="655F6F9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194821E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noWrap/>
            <w:vAlign w:val="bottom"/>
            <w:hideMark/>
          </w:tcPr>
          <w:p w14:paraId="7F48BFE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noWrap/>
            <w:vAlign w:val="bottom"/>
            <w:hideMark/>
          </w:tcPr>
          <w:p w14:paraId="24F6005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noWrap/>
            <w:vAlign w:val="bottom"/>
            <w:hideMark/>
          </w:tcPr>
          <w:p w14:paraId="0C77EF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701DC9E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ED7D31"/>
            <w:noWrap/>
            <w:vAlign w:val="bottom"/>
            <w:hideMark/>
          </w:tcPr>
          <w:p w14:paraId="41D7D25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ED7D31"/>
            <w:noWrap/>
            <w:vAlign w:val="bottom"/>
            <w:hideMark/>
          </w:tcPr>
          <w:p w14:paraId="0FAC9C8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6BFDFA3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09746CD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ED7D31"/>
            <w:noWrap/>
            <w:vAlign w:val="center"/>
            <w:hideMark/>
          </w:tcPr>
          <w:p w14:paraId="528046C0"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ED7D31"/>
            <w:noWrap/>
            <w:vAlign w:val="bottom"/>
            <w:hideMark/>
          </w:tcPr>
          <w:p w14:paraId="1E271B01" w14:textId="77777777" w:rsidR="00A3274A" w:rsidRPr="00EF5BD0" w:rsidRDefault="00A3274A" w:rsidP="006C4B1E">
            <w:pPr>
              <w:spacing w:after="0" w:line="240" w:lineRule="auto"/>
              <w:rPr>
                <w:rFonts w:ascii="Times New Roman" w:eastAsia="Times New Roman" w:hAnsi="Times New Roman" w:cs="Times New Roman"/>
                <w:b/>
                <w:bCs/>
                <w:sz w:val="18"/>
                <w:szCs w:val="18"/>
              </w:rPr>
            </w:pPr>
            <w:r w:rsidRPr="00EF5BD0">
              <w:rPr>
                <w:rFonts w:ascii="Times New Roman" w:eastAsia="Times New Roman" w:hAnsi="Times New Roman" w:cs="Times New Roman"/>
                <w:b/>
                <w:bCs/>
                <w:sz w:val="18"/>
                <w:szCs w:val="18"/>
              </w:rPr>
              <w:t xml:space="preserve">  219 680  </w:t>
            </w:r>
          </w:p>
        </w:tc>
      </w:tr>
      <w:tr w:rsidR="00A3274A" w:rsidRPr="00911768" w14:paraId="055F8BD9" w14:textId="77777777" w:rsidTr="00A3274A">
        <w:trPr>
          <w:trHeight w:val="516"/>
        </w:trPr>
        <w:tc>
          <w:tcPr>
            <w:tcW w:w="15017" w:type="dxa"/>
            <w:gridSpan w:val="17"/>
            <w:shd w:val="clear" w:color="000000" w:fill="FFFF00"/>
            <w:hideMark/>
          </w:tcPr>
          <w:p w14:paraId="096BBDDD"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OLT3: Amélioration de l'ouverture des acteurs politiques à inclure les voix des jeunes hommes et des jeunes femmes dans le dialogue au sein des principaux acteurs politiques et entre eux</w:t>
            </w:r>
          </w:p>
        </w:tc>
      </w:tr>
      <w:tr w:rsidR="00A3274A" w:rsidRPr="00EF5BD0" w14:paraId="1F6DA6F3" w14:textId="77777777" w:rsidTr="00A3274A">
        <w:trPr>
          <w:trHeight w:val="799"/>
        </w:trPr>
        <w:tc>
          <w:tcPr>
            <w:tcW w:w="1917" w:type="dxa"/>
            <w:vMerge w:val="restart"/>
            <w:shd w:val="clear" w:color="auto" w:fill="auto"/>
            <w:hideMark/>
          </w:tcPr>
          <w:p w14:paraId="3D84BF07"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3.1 Des jeunes hommes et  jeunes femmes s'organisent au-delà de leur appartenance politique, pour proposer la formulation et la mise en œuvre des politiques qui tiennent compte des besoins des jeunes. </w:t>
            </w:r>
          </w:p>
        </w:tc>
        <w:tc>
          <w:tcPr>
            <w:tcW w:w="2115" w:type="dxa"/>
            <w:shd w:val="clear" w:color="auto" w:fill="auto"/>
            <w:hideMark/>
          </w:tcPr>
          <w:p w14:paraId="28A1360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4610" w:type="dxa"/>
            <w:shd w:val="clear" w:color="auto" w:fill="auto"/>
            <w:hideMark/>
          </w:tcPr>
          <w:p w14:paraId="4BA367A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A3.1.0 Appuyer les jeunes et les femmes issus des partis politiques regroupes en cooperatitives dans le cadre de la consolidation la paix et la cohesion sociale (10 cooperatives 1/commune)</w:t>
            </w:r>
          </w:p>
        </w:tc>
        <w:tc>
          <w:tcPr>
            <w:tcW w:w="417" w:type="dxa"/>
            <w:shd w:val="clear" w:color="000000" w:fill="FFFFFF"/>
            <w:hideMark/>
          </w:tcPr>
          <w:p w14:paraId="56CBCD0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6385663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0FAE988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381D6ED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5C332AF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32042A4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64D703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27A346E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3DE2B67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3D7E20A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AB7C6C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752139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2C66A63"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20EC2C56"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19 800  </w:t>
            </w:r>
          </w:p>
        </w:tc>
      </w:tr>
      <w:tr w:rsidR="00A3274A" w:rsidRPr="00EF5BD0" w14:paraId="25FD6633" w14:textId="77777777" w:rsidTr="00A3274A">
        <w:trPr>
          <w:trHeight w:val="744"/>
        </w:trPr>
        <w:tc>
          <w:tcPr>
            <w:tcW w:w="1917" w:type="dxa"/>
            <w:vMerge/>
            <w:vAlign w:val="center"/>
            <w:hideMark/>
          </w:tcPr>
          <w:p w14:paraId="4CAA8B9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45BA45D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3.1.1 Identification des participants pour le renforcement des capacités </w:t>
            </w:r>
          </w:p>
        </w:tc>
        <w:tc>
          <w:tcPr>
            <w:tcW w:w="4610" w:type="dxa"/>
            <w:shd w:val="clear" w:color="auto" w:fill="auto"/>
            <w:hideMark/>
          </w:tcPr>
          <w:p w14:paraId="16156FF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911768">
              <w:rPr>
                <w:rFonts w:ascii="Times New Roman" w:eastAsia="Times New Roman" w:hAnsi="Times New Roman" w:cs="Times New Roman"/>
                <w:color w:val="000000"/>
                <w:sz w:val="18"/>
                <w:szCs w:val="18"/>
                <w:lang w:val="fr-FR"/>
              </w:rPr>
              <w:t xml:space="preserve">A3.1.1. Soutenir les jeunes multipartites Y/L dans la vulgarisation de leur modèle de cohésion sociale et de participation politique au niveau communal. </w:t>
            </w:r>
            <w:r w:rsidRPr="00EF5BD0">
              <w:rPr>
                <w:rFonts w:ascii="Times New Roman" w:eastAsia="Times New Roman" w:hAnsi="Times New Roman" w:cs="Times New Roman"/>
                <w:color w:val="000000"/>
                <w:sz w:val="18"/>
                <w:szCs w:val="18"/>
              </w:rPr>
              <w:t>Lien avec BICIII</w:t>
            </w:r>
          </w:p>
        </w:tc>
        <w:tc>
          <w:tcPr>
            <w:tcW w:w="417" w:type="dxa"/>
            <w:shd w:val="clear" w:color="000000" w:fill="FFFFFF"/>
            <w:hideMark/>
          </w:tcPr>
          <w:p w14:paraId="4F74448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FFFFFF"/>
            <w:hideMark/>
          </w:tcPr>
          <w:p w14:paraId="3A767A1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FFFF"/>
            <w:hideMark/>
          </w:tcPr>
          <w:p w14:paraId="6E3685E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3CBC5FB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C000"/>
            <w:hideMark/>
          </w:tcPr>
          <w:p w14:paraId="21B1A7B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FFC000"/>
            <w:hideMark/>
          </w:tcPr>
          <w:p w14:paraId="377BA09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FFC000"/>
            <w:hideMark/>
          </w:tcPr>
          <w:p w14:paraId="1CCDD3B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1F41140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auto" w:fill="auto"/>
            <w:hideMark/>
          </w:tcPr>
          <w:p w14:paraId="1EA997D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auto" w:fill="auto"/>
            <w:hideMark/>
          </w:tcPr>
          <w:p w14:paraId="6B32403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01D71BB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344DD2F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auto" w:fill="auto"/>
            <w:vAlign w:val="center"/>
            <w:hideMark/>
          </w:tcPr>
          <w:p w14:paraId="28A3A8D3"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BLTP-NIMD</w:t>
            </w:r>
          </w:p>
        </w:tc>
        <w:tc>
          <w:tcPr>
            <w:tcW w:w="954" w:type="dxa"/>
            <w:shd w:val="clear" w:color="000000" w:fill="FFFFFF"/>
            <w:vAlign w:val="center"/>
            <w:hideMark/>
          </w:tcPr>
          <w:p w14:paraId="299075A1"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19 206  </w:t>
            </w:r>
          </w:p>
        </w:tc>
      </w:tr>
      <w:tr w:rsidR="00A3274A" w:rsidRPr="00EF5BD0" w14:paraId="76FE75AB" w14:textId="77777777" w:rsidTr="00A3274A">
        <w:trPr>
          <w:trHeight w:val="1212"/>
        </w:trPr>
        <w:tc>
          <w:tcPr>
            <w:tcW w:w="1917" w:type="dxa"/>
            <w:vMerge/>
            <w:vAlign w:val="center"/>
            <w:hideMark/>
          </w:tcPr>
          <w:p w14:paraId="05467BA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restart"/>
            <w:shd w:val="clear" w:color="auto" w:fill="auto"/>
            <w:hideMark/>
          </w:tcPr>
          <w:p w14:paraId="7C02C0A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3.1.2 Formation au renforcement des capacités (éducation à la démocratie) </w:t>
            </w:r>
          </w:p>
        </w:tc>
        <w:tc>
          <w:tcPr>
            <w:tcW w:w="4610" w:type="dxa"/>
            <w:shd w:val="clear" w:color="auto" w:fill="auto"/>
            <w:hideMark/>
          </w:tcPr>
          <w:p w14:paraId="10A5EB1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A3.1.2a Aider les jeunes politiciens à établir un programme commun dans lequel ils prévoient de sensibiliser les décideurs politiques afin qu'ils puissent intégrer des projets de jeunes dans leurs programmes. (En lien avec les plates-formes de jeunesse du BICIII).</w:t>
            </w:r>
          </w:p>
        </w:tc>
        <w:tc>
          <w:tcPr>
            <w:tcW w:w="417" w:type="dxa"/>
            <w:shd w:val="clear" w:color="000000" w:fill="FFC000"/>
            <w:hideMark/>
          </w:tcPr>
          <w:p w14:paraId="48378C5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1610DDE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201D7BA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261E5B6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75A4C0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4C66B47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1B25110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780AA89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4BF340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4E00B0B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B879B7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C6324C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3286C142"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CIDEP-NIMD</w:t>
            </w:r>
          </w:p>
        </w:tc>
        <w:tc>
          <w:tcPr>
            <w:tcW w:w="954" w:type="dxa"/>
            <w:shd w:val="clear" w:color="000000" w:fill="FFFFFF"/>
            <w:vAlign w:val="center"/>
            <w:hideMark/>
          </w:tcPr>
          <w:p w14:paraId="76B0C83B" w14:textId="77777777" w:rsidR="00A3274A" w:rsidRPr="00EF5BD0" w:rsidRDefault="00A3274A" w:rsidP="006C4B1E">
            <w:pPr>
              <w:spacing w:after="0" w:line="240" w:lineRule="auto"/>
              <w:jc w:val="center"/>
              <w:rPr>
                <w:rFonts w:ascii="Times New Roman" w:eastAsia="Times New Roman" w:hAnsi="Times New Roman" w:cs="Times New Roman"/>
                <w:b/>
                <w:bCs/>
                <w:color w:val="ED7D31"/>
                <w:sz w:val="18"/>
                <w:szCs w:val="18"/>
              </w:rPr>
            </w:pPr>
            <w:r w:rsidRPr="00EF5BD0">
              <w:rPr>
                <w:rFonts w:ascii="Times New Roman" w:eastAsia="Times New Roman" w:hAnsi="Times New Roman" w:cs="Times New Roman"/>
                <w:b/>
                <w:bCs/>
                <w:color w:val="ED7D31"/>
                <w:sz w:val="18"/>
                <w:szCs w:val="18"/>
              </w:rPr>
              <w:t xml:space="preserve">       4 970  </w:t>
            </w:r>
          </w:p>
        </w:tc>
      </w:tr>
      <w:tr w:rsidR="00A3274A" w:rsidRPr="00EF5BD0" w14:paraId="39447AEF" w14:textId="77777777" w:rsidTr="00A3274A">
        <w:trPr>
          <w:trHeight w:val="1212"/>
        </w:trPr>
        <w:tc>
          <w:tcPr>
            <w:tcW w:w="1917" w:type="dxa"/>
            <w:vMerge/>
            <w:vAlign w:val="center"/>
            <w:hideMark/>
          </w:tcPr>
          <w:p w14:paraId="1AF5133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vMerge/>
            <w:vAlign w:val="center"/>
            <w:hideMark/>
          </w:tcPr>
          <w:p w14:paraId="46EFD73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p>
        </w:tc>
        <w:tc>
          <w:tcPr>
            <w:tcW w:w="4610" w:type="dxa"/>
            <w:shd w:val="clear" w:color="auto" w:fill="auto"/>
            <w:hideMark/>
          </w:tcPr>
          <w:p w14:paraId="7A201A7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A3.1.2b Créer et revitaliser des cadres inclusifs pour l'expression et le développement des jeunes politiciens en particulier (centres de jeunes, forum de jeunes) afin de formuler des visions communes sur les problèmes politiques affectant les jeunes et sur la participation politique des jeunes. L'expérience du CENAP et de l'ICB en matière de cadres pour les jeunes sera consultée. </w:t>
            </w:r>
          </w:p>
        </w:tc>
        <w:tc>
          <w:tcPr>
            <w:tcW w:w="417" w:type="dxa"/>
            <w:shd w:val="clear" w:color="auto" w:fill="auto"/>
            <w:hideMark/>
          </w:tcPr>
          <w:p w14:paraId="3CA43DF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03EB0F5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6BB957A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4065491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08B2991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46A863C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45094B6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09F3E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482FC3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6B58A2A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265B23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272F36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1EF15159"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NIMD/REJA</w:t>
            </w:r>
          </w:p>
        </w:tc>
        <w:tc>
          <w:tcPr>
            <w:tcW w:w="954" w:type="dxa"/>
            <w:shd w:val="clear" w:color="000000" w:fill="FFFFFF"/>
            <w:vAlign w:val="center"/>
            <w:hideMark/>
          </w:tcPr>
          <w:p w14:paraId="2ACA9861" w14:textId="77777777" w:rsidR="00A3274A" w:rsidRPr="00EF5BD0" w:rsidRDefault="00A3274A" w:rsidP="006C4B1E">
            <w:pPr>
              <w:spacing w:after="0" w:line="240" w:lineRule="auto"/>
              <w:jc w:val="center"/>
              <w:rPr>
                <w:rFonts w:ascii="Times New Roman" w:eastAsia="Times New Roman" w:hAnsi="Times New Roman" w:cs="Times New Roman"/>
                <w:b/>
                <w:bCs/>
                <w:color w:val="ED7D31"/>
                <w:sz w:val="18"/>
                <w:szCs w:val="18"/>
              </w:rPr>
            </w:pPr>
            <w:r w:rsidRPr="00EF5BD0">
              <w:rPr>
                <w:rFonts w:ascii="Times New Roman" w:eastAsia="Times New Roman" w:hAnsi="Times New Roman" w:cs="Times New Roman"/>
                <w:b/>
                <w:bCs/>
                <w:color w:val="ED7D31"/>
                <w:sz w:val="18"/>
                <w:szCs w:val="18"/>
              </w:rPr>
              <w:t xml:space="preserve">     10 636  </w:t>
            </w:r>
          </w:p>
        </w:tc>
      </w:tr>
      <w:tr w:rsidR="00A3274A" w:rsidRPr="00EF5BD0" w14:paraId="7924CA49" w14:textId="77777777" w:rsidTr="00A3274A">
        <w:trPr>
          <w:trHeight w:val="1344"/>
        </w:trPr>
        <w:tc>
          <w:tcPr>
            <w:tcW w:w="1917" w:type="dxa"/>
            <w:vMerge/>
            <w:vAlign w:val="center"/>
            <w:hideMark/>
          </w:tcPr>
          <w:p w14:paraId="132CF76C"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3F1CA07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3.1.3 Programmes de mentorat et de coaching </w:t>
            </w:r>
          </w:p>
        </w:tc>
        <w:tc>
          <w:tcPr>
            <w:tcW w:w="4610" w:type="dxa"/>
            <w:shd w:val="clear" w:color="auto" w:fill="auto"/>
            <w:hideMark/>
          </w:tcPr>
          <w:p w14:paraId="48457C0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A3.1.3 Renforcer les capacités des Alumni (des personnes modèles à suivre) dans les partis politiques pour qu'ils puissent accompagner les femmes et les jeunes politiques dans la réalisation de leur aspiration politique (</w:t>
            </w:r>
            <w:r w:rsidRPr="00911768">
              <w:rPr>
                <w:rFonts w:ascii="Times New Roman" w:eastAsia="Times New Roman" w:hAnsi="Times New Roman" w:cs="Times New Roman"/>
                <w:b/>
                <w:bCs/>
                <w:color w:val="000000"/>
                <w:sz w:val="18"/>
                <w:szCs w:val="18"/>
                <w:lang w:val="fr-FR"/>
              </w:rPr>
              <w:t>Donner à ces Alumni des stages professionnels, coaching et mentoring pdt 6 mois</w:t>
            </w:r>
            <w:r w:rsidRPr="00911768">
              <w:rPr>
                <w:rFonts w:ascii="Times New Roman" w:eastAsia="Times New Roman" w:hAnsi="Times New Roman" w:cs="Times New Roman"/>
                <w:color w:val="000000"/>
                <w:sz w:val="18"/>
                <w:szCs w:val="18"/>
                <w:lang w:val="fr-FR"/>
              </w:rPr>
              <w:t>)</w:t>
            </w:r>
          </w:p>
        </w:tc>
        <w:tc>
          <w:tcPr>
            <w:tcW w:w="417" w:type="dxa"/>
            <w:shd w:val="clear" w:color="000000" w:fill="FFFFFF"/>
            <w:hideMark/>
          </w:tcPr>
          <w:p w14:paraId="2CB30CB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6BFC17A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41246AF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2D274A0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575014B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3638457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27CEBA6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0D1F42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518F99B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0D08C16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23F0173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CB72C1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2A232E0C"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22AA44F9"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6 930  </w:t>
            </w:r>
          </w:p>
        </w:tc>
      </w:tr>
      <w:tr w:rsidR="00A3274A" w:rsidRPr="00EF5BD0" w14:paraId="10907F20" w14:textId="77777777" w:rsidTr="00A3274A">
        <w:trPr>
          <w:trHeight w:val="204"/>
        </w:trPr>
        <w:tc>
          <w:tcPr>
            <w:tcW w:w="1917" w:type="dxa"/>
            <w:shd w:val="clear" w:color="000000" w:fill="000000"/>
            <w:noWrap/>
            <w:hideMark/>
          </w:tcPr>
          <w:p w14:paraId="13715DD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noWrap/>
            <w:vAlign w:val="bottom"/>
            <w:hideMark/>
          </w:tcPr>
          <w:p w14:paraId="7F28C1C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noWrap/>
            <w:vAlign w:val="bottom"/>
            <w:hideMark/>
          </w:tcPr>
          <w:p w14:paraId="59A02CD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noWrap/>
            <w:vAlign w:val="bottom"/>
            <w:hideMark/>
          </w:tcPr>
          <w:p w14:paraId="70E4294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noWrap/>
            <w:vAlign w:val="bottom"/>
            <w:hideMark/>
          </w:tcPr>
          <w:p w14:paraId="7C0FD94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070FBFB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023B264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323928B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55DCF9E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196B436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4306446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noWrap/>
            <w:vAlign w:val="bottom"/>
            <w:hideMark/>
          </w:tcPr>
          <w:p w14:paraId="627BDA4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noWrap/>
            <w:vAlign w:val="bottom"/>
            <w:hideMark/>
          </w:tcPr>
          <w:p w14:paraId="447261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7305592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2F39F40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noWrap/>
            <w:vAlign w:val="center"/>
            <w:hideMark/>
          </w:tcPr>
          <w:p w14:paraId="5D546A44"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noWrap/>
            <w:vAlign w:val="center"/>
            <w:hideMark/>
          </w:tcPr>
          <w:p w14:paraId="0A7DA0DA"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61 542  </w:t>
            </w:r>
          </w:p>
        </w:tc>
      </w:tr>
      <w:tr w:rsidR="00A3274A" w:rsidRPr="00EF5BD0" w14:paraId="61C5A659" w14:textId="77777777" w:rsidTr="00A3274A">
        <w:trPr>
          <w:trHeight w:val="960"/>
        </w:trPr>
        <w:tc>
          <w:tcPr>
            <w:tcW w:w="1917" w:type="dxa"/>
            <w:vMerge w:val="restart"/>
            <w:shd w:val="clear" w:color="auto" w:fill="auto"/>
            <w:hideMark/>
          </w:tcPr>
          <w:p w14:paraId="12699D62"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xml:space="preserve"> </w:t>
            </w:r>
          </w:p>
        </w:tc>
        <w:tc>
          <w:tcPr>
            <w:tcW w:w="2115" w:type="dxa"/>
            <w:shd w:val="clear" w:color="auto" w:fill="auto"/>
            <w:hideMark/>
          </w:tcPr>
          <w:p w14:paraId="78C7794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A3.2.1 Etude participative des questions relatives à la jeunesse au sein des partis politiques </w:t>
            </w:r>
          </w:p>
        </w:tc>
        <w:tc>
          <w:tcPr>
            <w:tcW w:w="4610" w:type="dxa"/>
            <w:shd w:val="clear" w:color="auto" w:fill="auto"/>
            <w:hideMark/>
          </w:tcPr>
          <w:p w14:paraId="1783F62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A3.2.1 Commenditer une étude d'analyse participative des questions relatives à la jeunesse au sein des partis politiques 10 jours de consultance</w:t>
            </w:r>
          </w:p>
        </w:tc>
        <w:tc>
          <w:tcPr>
            <w:tcW w:w="417" w:type="dxa"/>
            <w:shd w:val="clear" w:color="000000" w:fill="FFC000"/>
            <w:hideMark/>
          </w:tcPr>
          <w:p w14:paraId="3C87F97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FFFF"/>
            <w:hideMark/>
          </w:tcPr>
          <w:p w14:paraId="477ADB6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4F407BC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7D8537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4106A01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36399F6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5BA4F99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30851D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5138E7E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0F26066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0D063B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58DB26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7801F43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REJA</w:t>
            </w:r>
          </w:p>
        </w:tc>
        <w:tc>
          <w:tcPr>
            <w:tcW w:w="954" w:type="dxa"/>
            <w:shd w:val="clear" w:color="000000" w:fill="FFFFFF"/>
            <w:vAlign w:val="center"/>
            <w:hideMark/>
          </w:tcPr>
          <w:p w14:paraId="7E035AF7"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2 310  </w:t>
            </w:r>
          </w:p>
        </w:tc>
      </w:tr>
      <w:tr w:rsidR="00A3274A" w:rsidRPr="00EF5BD0" w14:paraId="1D221E1D" w14:textId="77777777" w:rsidTr="00A3274A">
        <w:trPr>
          <w:trHeight w:val="972"/>
        </w:trPr>
        <w:tc>
          <w:tcPr>
            <w:tcW w:w="1917" w:type="dxa"/>
            <w:vMerge/>
            <w:vAlign w:val="center"/>
            <w:hideMark/>
          </w:tcPr>
          <w:p w14:paraId="768B7E78"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607FAF2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A3.2.2 Présenter l'étude et inciter les partis politiques à s'engager à répondre aux préoccupations des jeunes</w:t>
            </w:r>
          </w:p>
        </w:tc>
        <w:tc>
          <w:tcPr>
            <w:tcW w:w="4610" w:type="dxa"/>
            <w:shd w:val="clear" w:color="auto" w:fill="auto"/>
            <w:hideMark/>
          </w:tcPr>
          <w:p w14:paraId="1D6EC12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911768">
              <w:rPr>
                <w:rFonts w:ascii="Times New Roman" w:eastAsia="Times New Roman" w:hAnsi="Times New Roman" w:cs="Times New Roman"/>
                <w:color w:val="000000"/>
                <w:sz w:val="18"/>
                <w:szCs w:val="18"/>
                <w:lang w:val="fr-FR"/>
              </w:rPr>
              <w:t xml:space="preserve">A3.2.2. Présenter et discuter les recommendations de l'étude aux leaders des partis politiques et les inciterà s'engager à répondre aux préoccupations des jeunes. </w:t>
            </w:r>
            <w:r w:rsidRPr="00EF5BD0">
              <w:rPr>
                <w:rFonts w:ascii="Times New Roman" w:eastAsia="Times New Roman" w:hAnsi="Times New Roman" w:cs="Times New Roman"/>
                <w:color w:val="000000"/>
                <w:sz w:val="18"/>
                <w:szCs w:val="18"/>
              </w:rPr>
              <w:t>1 jr</w:t>
            </w:r>
          </w:p>
        </w:tc>
        <w:tc>
          <w:tcPr>
            <w:tcW w:w="417" w:type="dxa"/>
            <w:shd w:val="clear" w:color="auto" w:fill="auto"/>
            <w:hideMark/>
          </w:tcPr>
          <w:p w14:paraId="3CF4130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FFC000"/>
            <w:hideMark/>
          </w:tcPr>
          <w:p w14:paraId="7A8A35E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auto" w:fill="auto"/>
            <w:hideMark/>
          </w:tcPr>
          <w:p w14:paraId="2341BFC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FFFFFF"/>
            <w:hideMark/>
          </w:tcPr>
          <w:p w14:paraId="2C66C9E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auto" w:fill="auto"/>
            <w:hideMark/>
          </w:tcPr>
          <w:p w14:paraId="7E5C548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auto" w:fill="auto"/>
            <w:hideMark/>
          </w:tcPr>
          <w:p w14:paraId="3723559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auto" w:fill="auto"/>
            <w:hideMark/>
          </w:tcPr>
          <w:p w14:paraId="61979BF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1047DE6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auto" w:fill="auto"/>
            <w:hideMark/>
          </w:tcPr>
          <w:p w14:paraId="302ADBD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auto" w:fill="auto"/>
            <w:hideMark/>
          </w:tcPr>
          <w:p w14:paraId="773FE40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691C9B9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098ACE9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auto" w:fill="auto"/>
            <w:vAlign w:val="center"/>
            <w:hideMark/>
          </w:tcPr>
          <w:p w14:paraId="2D248106"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6C769AEB"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5 429  </w:t>
            </w:r>
          </w:p>
        </w:tc>
      </w:tr>
      <w:tr w:rsidR="00A3274A" w:rsidRPr="00EF5BD0" w14:paraId="69AEA69F" w14:textId="77777777" w:rsidTr="00A3274A">
        <w:trPr>
          <w:trHeight w:val="1306"/>
        </w:trPr>
        <w:tc>
          <w:tcPr>
            <w:tcW w:w="1917" w:type="dxa"/>
            <w:vMerge/>
            <w:vAlign w:val="center"/>
            <w:hideMark/>
          </w:tcPr>
          <w:p w14:paraId="40E9F203"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69F62EC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xml:space="preserve">3.2.3 Activités de dialogue intergénérationnel </w:t>
            </w:r>
          </w:p>
        </w:tc>
        <w:tc>
          <w:tcPr>
            <w:tcW w:w="4610" w:type="dxa"/>
            <w:shd w:val="clear" w:color="auto" w:fill="auto"/>
            <w:hideMark/>
          </w:tcPr>
          <w:p w14:paraId="246CC83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911768">
              <w:rPr>
                <w:rFonts w:ascii="Times New Roman" w:eastAsia="Times New Roman" w:hAnsi="Times New Roman" w:cs="Times New Roman"/>
                <w:color w:val="000000"/>
                <w:sz w:val="18"/>
                <w:szCs w:val="18"/>
                <w:lang w:val="fr-FR"/>
              </w:rPr>
              <w:t xml:space="preserve">A3.2.3 Activités de dialogue intergénérationnel proprement dit entre les jeunes dirigeants des partis politiques et les dirigeants des partis nationaux et provinciaux. Ces dialogues bénéficieront de la facilitation d'experts au cours desquels les participants conviendront ensemble des priorités axées sur la jeunesse dans leurs programmes politiques. </w:t>
            </w:r>
            <w:r w:rsidRPr="00EF5BD0">
              <w:rPr>
                <w:rFonts w:ascii="Times New Roman" w:eastAsia="Times New Roman" w:hAnsi="Times New Roman" w:cs="Times New Roman"/>
                <w:color w:val="000000"/>
                <w:sz w:val="18"/>
                <w:szCs w:val="18"/>
              </w:rPr>
              <w:t>1 dialogue national et 5 prov</w:t>
            </w:r>
          </w:p>
        </w:tc>
        <w:tc>
          <w:tcPr>
            <w:tcW w:w="417" w:type="dxa"/>
            <w:shd w:val="clear" w:color="000000" w:fill="FFC000"/>
            <w:hideMark/>
          </w:tcPr>
          <w:p w14:paraId="7C4A4DA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FFC000"/>
            <w:hideMark/>
          </w:tcPr>
          <w:p w14:paraId="4992182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C000"/>
            <w:hideMark/>
          </w:tcPr>
          <w:p w14:paraId="04B535D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FFC000"/>
            <w:hideMark/>
          </w:tcPr>
          <w:p w14:paraId="36DFFA6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C000"/>
            <w:hideMark/>
          </w:tcPr>
          <w:p w14:paraId="49965E8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FFC000"/>
            <w:hideMark/>
          </w:tcPr>
          <w:p w14:paraId="28B5D08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FFC000"/>
            <w:hideMark/>
          </w:tcPr>
          <w:p w14:paraId="620D1F8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2C7EA9F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auto" w:fill="auto"/>
            <w:hideMark/>
          </w:tcPr>
          <w:p w14:paraId="124B96F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auto" w:fill="auto"/>
            <w:hideMark/>
          </w:tcPr>
          <w:p w14:paraId="78EA5B1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51B55C6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35A65CD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auto" w:fill="auto"/>
            <w:vAlign w:val="center"/>
            <w:hideMark/>
          </w:tcPr>
          <w:p w14:paraId="4A448F4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CENAP</w:t>
            </w:r>
          </w:p>
        </w:tc>
        <w:tc>
          <w:tcPr>
            <w:tcW w:w="954" w:type="dxa"/>
            <w:shd w:val="clear" w:color="000000" w:fill="FFFFFF"/>
            <w:vAlign w:val="center"/>
            <w:hideMark/>
          </w:tcPr>
          <w:p w14:paraId="433880B6"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32 667  </w:t>
            </w:r>
          </w:p>
        </w:tc>
      </w:tr>
      <w:tr w:rsidR="00A3274A" w:rsidRPr="00EF5BD0" w14:paraId="687DB782" w14:textId="77777777" w:rsidTr="00A3274A">
        <w:trPr>
          <w:trHeight w:val="219"/>
        </w:trPr>
        <w:tc>
          <w:tcPr>
            <w:tcW w:w="1917" w:type="dxa"/>
            <w:shd w:val="clear" w:color="000000" w:fill="000000"/>
            <w:hideMark/>
          </w:tcPr>
          <w:p w14:paraId="6C3B202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334DD58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4C04A59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6951184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671E0D4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06F0255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5D4B46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0C197F5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49367DE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4A89C0B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21B3219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701C9A6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145B9D7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19B4751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3AFC8FD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062692C2"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vAlign w:val="center"/>
            <w:hideMark/>
          </w:tcPr>
          <w:p w14:paraId="10D8CEAF"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40 406  </w:t>
            </w:r>
          </w:p>
        </w:tc>
      </w:tr>
      <w:tr w:rsidR="00A3274A" w:rsidRPr="00EF5BD0" w14:paraId="51D383A4" w14:textId="77777777" w:rsidTr="00A3274A">
        <w:trPr>
          <w:trHeight w:val="219"/>
        </w:trPr>
        <w:tc>
          <w:tcPr>
            <w:tcW w:w="1917" w:type="dxa"/>
            <w:shd w:val="clear" w:color="000000" w:fill="ED7D31"/>
            <w:hideMark/>
          </w:tcPr>
          <w:p w14:paraId="39F5EF5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Tot O LT3</w:t>
            </w:r>
          </w:p>
        </w:tc>
        <w:tc>
          <w:tcPr>
            <w:tcW w:w="2115" w:type="dxa"/>
            <w:shd w:val="clear" w:color="000000" w:fill="ED7D31"/>
            <w:hideMark/>
          </w:tcPr>
          <w:p w14:paraId="2AEA97E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ED7D31"/>
            <w:hideMark/>
          </w:tcPr>
          <w:p w14:paraId="04D2F3A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ED7D31"/>
            <w:hideMark/>
          </w:tcPr>
          <w:p w14:paraId="2BD9387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ED7D31"/>
            <w:hideMark/>
          </w:tcPr>
          <w:p w14:paraId="4758D47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hideMark/>
          </w:tcPr>
          <w:p w14:paraId="35DB0CB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2F842A5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hideMark/>
          </w:tcPr>
          <w:p w14:paraId="7C582AB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hideMark/>
          </w:tcPr>
          <w:p w14:paraId="5D6C48C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hideMark/>
          </w:tcPr>
          <w:p w14:paraId="1E32173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02B1C06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ED7D31"/>
            <w:hideMark/>
          </w:tcPr>
          <w:p w14:paraId="782DCE1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ED7D31"/>
            <w:hideMark/>
          </w:tcPr>
          <w:p w14:paraId="1048DA9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55F6E2A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hideMark/>
          </w:tcPr>
          <w:p w14:paraId="7B619D3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ED7D31"/>
            <w:vAlign w:val="center"/>
            <w:hideMark/>
          </w:tcPr>
          <w:p w14:paraId="6AD95FE8"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ED7D31"/>
            <w:vAlign w:val="center"/>
            <w:hideMark/>
          </w:tcPr>
          <w:p w14:paraId="30413D25" w14:textId="77777777" w:rsidR="00A3274A" w:rsidRPr="00EF5BD0" w:rsidRDefault="00A3274A" w:rsidP="006C4B1E">
            <w:pPr>
              <w:spacing w:after="0" w:line="240" w:lineRule="auto"/>
              <w:jc w:val="center"/>
              <w:rPr>
                <w:rFonts w:ascii="Times New Roman" w:eastAsia="Times New Roman" w:hAnsi="Times New Roman" w:cs="Times New Roman"/>
                <w:b/>
                <w:bCs/>
                <w:sz w:val="18"/>
                <w:szCs w:val="18"/>
              </w:rPr>
            </w:pPr>
            <w:r w:rsidRPr="00EF5BD0">
              <w:rPr>
                <w:rFonts w:ascii="Times New Roman" w:eastAsia="Times New Roman" w:hAnsi="Times New Roman" w:cs="Times New Roman"/>
                <w:b/>
                <w:bCs/>
                <w:sz w:val="18"/>
                <w:szCs w:val="18"/>
              </w:rPr>
              <w:t xml:space="preserve">  101 948  </w:t>
            </w:r>
          </w:p>
        </w:tc>
      </w:tr>
      <w:tr w:rsidR="00A3274A" w:rsidRPr="00911768" w14:paraId="29A3AEEF" w14:textId="77777777" w:rsidTr="00A3274A">
        <w:trPr>
          <w:trHeight w:val="516"/>
        </w:trPr>
        <w:tc>
          <w:tcPr>
            <w:tcW w:w="15017" w:type="dxa"/>
            <w:gridSpan w:val="17"/>
            <w:shd w:val="clear" w:color="000000" w:fill="FFFF00"/>
            <w:hideMark/>
          </w:tcPr>
          <w:p w14:paraId="3A6E0431"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OLT 4: NIMD et son  reseau local travaillent sur la base d'une analyse continue et d'une compréhension fondée sur des preuves du contexte, de la dynamique et des intérêts politiques en développement.</w:t>
            </w:r>
          </w:p>
        </w:tc>
      </w:tr>
      <w:tr w:rsidR="00A3274A" w:rsidRPr="00EF5BD0" w14:paraId="5E71440A" w14:textId="77777777" w:rsidTr="00A3274A">
        <w:trPr>
          <w:trHeight w:val="139"/>
        </w:trPr>
        <w:tc>
          <w:tcPr>
            <w:tcW w:w="1917" w:type="dxa"/>
            <w:vMerge w:val="restart"/>
            <w:shd w:val="clear" w:color="auto" w:fill="auto"/>
            <w:hideMark/>
          </w:tcPr>
          <w:p w14:paraId="077AC638"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4.1 NIMD et ses partenaires partagent et coordonnent régulièrement leurs interventions et leurs analyses avec les parties prenantes internationales.</w:t>
            </w:r>
          </w:p>
        </w:tc>
        <w:tc>
          <w:tcPr>
            <w:tcW w:w="2115" w:type="dxa"/>
            <w:shd w:val="clear" w:color="auto" w:fill="auto"/>
            <w:hideMark/>
          </w:tcPr>
          <w:p w14:paraId="0C12F91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4.1.1 Consultations régulières sur les activités du projet</w:t>
            </w:r>
          </w:p>
        </w:tc>
        <w:tc>
          <w:tcPr>
            <w:tcW w:w="4610" w:type="dxa"/>
            <w:shd w:val="clear" w:color="auto" w:fill="auto"/>
            <w:hideMark/>
          </w:tcPr>
          <w:p w14:paraId="4EEA70F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4.1.1 Consultations régulières  avec les parties prenantes sur les activités du projet, les progrès accomplis et les difficultés rencontrées</w:t>
            </w:r>
          </w:p>
        </w:tc>
        <w:tc>
          <w:tcPr>
            <w:tcW w:w="417" w:type="dxa"/>
            <w:shd w:val="clear" w:color="auto" w:fill="auto"/>
            <w:hideMark/>
          </w:tcPr>
          <w:p w14:paraId="12FBD75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6281263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0FA4886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3612225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70BB9F7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68E2A0B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593C040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E72D32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461ABCB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0AC6414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2C1F16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15566B9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2F692BE2"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70C55C4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3 102  </w:t>
            </w:r>
          </w:p>
        </w:tc>
      </w:tr>
      <w:tr w:rsidR="00A3274A" w:rsidRPr="00EF5BD0" w14:paraId="1492AC24" w14:textId="77777777" w:rsidTr="00A3274A">
        <w:trPr>
          <w:trHeight w:val="1164"/>
        </w:trPr>
        <w:tc>
          <w:tcPr>
            <w:tcW w:w="1917" w:type="dxa"/>
            <w:vMerge/>
            <w:vAlign w:val="center"/>
            <w:hideMark/>
          </w:tcPr>
          <w:p w14:paraId="3A4C1B69"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14C4549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xml:space="preserve">4.1.2 Visites de sensibilisation </w:t>
            </w:r>
          </w:p>
        </w:tc>
        <w:tc>
          <w:tcPr>
            <w:tcW w:w="4610" w:type="dxa"/>
            <w:shd w:val="clear" w:color="auto" w:fill="auto"/>
            <w:hideMark/>
          </w:tcPr>
          <w:p w14:paraId="4AED658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4.1.2 Visites de sensibilisation où les partenaires chargés de la mise en œuvre s'engagent et partagent leur analyse  au niveau du siège (La Haye), un au niveau intercontinental (Europe/ONU) et un au niveau continental (UA, EAC).</w:t>
            </w:r>
          </w:p>
        </w:tc>
        <w:tc>
          <w:tcPr>
            <w:tcW w:w="417" w:type="dxa"/>
            <w:shd w:val="clear" w:color="auto" w:fill="auto"/>
            <w:hideMark/>
          </w:tcPr>
          <w:p w14:paraId="105D4CA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665378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2B33E6A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12345C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4139430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4CCD4BE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7AE65CA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27D23D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45D40F1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7354FE6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1EB00BE9"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2C5AB8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451671A"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vAlign w:val="center"/>
            <w:hideMark/>
          </w:tcPr>
          <w:p w14:paraId="51ED3838"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20 000  </w:t>
            </w:r>
          </w:p>
        </w:tc>
      </w:tr>
      <w:tr w:rsidR="00A3274A" w:rsidRPr="00EF5BD0" w14:paraId="1FA6D6EF" w14:textId="77777777" w:rsidTr="00A3274A">
        <w:trPr>
          <w:trHeight w:val="204"/>
        </w:trPr>
        <w:tc>
          <w:tcPr>
            <w:tcW w:w="1917" w:type="dxa"/>
            <w:shd w:val="clear" w:color="000000" w:fill="000000"/>
            <w:hideMark/>
          </w:tcPr>
          <w:p w14:paraId="59E294DA"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64755CB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0573ADE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41E4532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6F58161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2154D01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DBFEAE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56A2A27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38406CB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1A97005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2DF415D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07F6C0F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2055476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02A1107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7800603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41791646"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vAlign w:val="center"/>
            <w:hideMark/>
          </w:tcPr>
          <w:p w14:paraId="5D584DA0"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23 102  </w:t>
            </w:r>
          </w:p>
        </w:tc>
      </w:tr>
      <w:tr w:rsidR="00A3274A" w:rsidRPr="00EF5BD0" w14:paraId="1B4F98B1" w14:textId="77777777" w:rsidTr="00A3274A">
        <w:trPr>
          <w:trHeight w:val="584"/>
        </w:trPr>
        <w:tc>
          <w:tcPr>
            <w:tcW w:w="1917" w:type="dxa"/>
            <w:vMerge w:val="restart"/>
            <w:shd w:val="clear" w:color="auto" w:fill="auto"/>
            <w:hideMark/>
          </w:tcPr>
          <w:p w14:paraId="5E904033"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 xml:space="preserve">4.2 NIMD et ses partenaires développent une </w:t>
            </w:r>
            <w:r w:rsidRPr="00911768">
              <w:rPr>
                <w:rFonts w:ascii="Times New Roman" w:eastAsia="Times New Roman" w:hAnsi="Times New Roman" w:cs="Times New Roman"/>
                <w:b/>
                <w:bCs/>
                <w:color w:val="000000"/>
                <w:sz w:val="18"/>
                <w:szCs w:val="18"/>
                <w:lang w:val="fr-FR"/>
              </w:rPr>
              <w:lastRenderedPageBreak/>
              <w:t>compréhension approfondie de l'évolution du paysage politique après les élections de 2020 en vue des élections de 2025 et 2027.</w:t>
            </w:r>
          </w:p>
        </w:tc>
        <w:tc>
          <w:tcPr>
            <w:tcW w:w="2115" w:type="dxa"/>
            <w:shd w:val="clear" w:color="auto" w:fill="auto"/>
            <w:hideMark/>
          </w:tcPr>
          <w:p w14:paraId="5EFBD94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lastRenderedPageBreak/>
              <w:t xml:space="preserve">A4.2.1  Nes notes de recherche et des analyses trimestrielles sur  le </w:t>
            </w:r>
            <w:r w:rsidRPr="00911768">
              <w:rPr>
                <w:rFonts w:ascii="Times New Roman" w:eastAsia="Times New Roman" w:hAnsi="Times New Roman" w:cs="Times New Roman"/>
                <w:color w:val="000000"/>
                <w:sz w:val="18"/>
                <w:szCs w:val="18"/>
                <w:lang w:val="fr-FR"/>
              </w:rPr>
              <w:lastRenderedPageBreak/>
              <w:t xml:space="preserve">processus politique et électoral </w:t>
            </w:r>
          </w:p>
        </w:tc>
        <w:tc>
          <w:tcPr>
            <w:tcW w:w="4610" w:type="dxa"/>
            <w:shd w:val="clear" w:color="auto" w:fill="auto"/>
            <w:hideMark/>
          </w:tcPr>
          <w:p w14:paraId="7ECADF6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911768">
              <w:rPr>
                <w:rFonts w:ascii="Times New Roman" w:eastAsia="Times New Roman" w:hAnsi="Times New Roman" w:cs="Times New Roman"/>
                <w:color w:val="000000"/>
                <w:sz w:val="18"/>
                <w:szCs w:val="18"/>
                <w:lang w:val="fr-FR"/>
              </w:rPr>
              <w:lastRenderedPageBreak/>
              <w:t xml:space="preserve">A4.2.1  Produire  des notes de recherche et des analyses trimestrielles sur des sujets spécifiques d'intérêt pour le processus politique et électoral. </w:t>
            </w:r>
            <w:r w:rsidRPr="00EF5BD0">
              <w:rPr>
                <w:rFonts w:ascii="Times New Roman" w:eastAsia="Times New Roman" w:hAnsi="Times New Roman" w:cs="Times New Roman"/>
                <w:color w:val="000000"/>
                <w:sz w:val="18"/>
                <w:szCs w:val="18"/>
              </w:rPr>
              <w:t xml:space="preserve">Consultant 10 jours </w:t>
            </w:r>
          </w:p>
        </w:tc>
        <w:tc>
          <w:tcPr>
            <w:tcW w:w="417" w:type="dxa"/>
            <w:shd w:val="clear" w:color="auto" w:fill="auto"/>
            <w:hideMark/>
          </w:tcPr>
          <w:p w14:paraId="47E8E96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auto" w:fill="auto"/>
            <w:hideMark/>
          </w:tcPr>
          <w:p w14:paraId="4D4FDC3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FFC000"/>
            <w:hideMark/>
          </w:tcPr>
          <w:p w14:paraId="0BC090E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75840D7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auto" w:fill="auto"/>
            <w:hideMark/>
          </w:tcPr>
          <w:p w14:paraId="660476E0"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FFC000"/>
            <w:hideMark/>
          </w:tcPr>
          <w:p w14:paraId="54514C8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auto" w:fill="auto"/>
            <w:hideMark/>
          </w:tcPr>
          <w:p w14:paraId="4DF10EF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33D7D73F"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FFC000"/>
            <w:hideMark/>
          </w:tcPr>
          <w:p w14:paraId="7A696A9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auto" w:fill="auto"/>
            <w:hideMark/>
          </w:tcPr>
          <w:p w14:paraId="392B39D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auto" w:fill="auto"/>
            <w:hideMark/>
          </w:tcPr>
          <w:p w14:paraId="4A56A0E1"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FFC000"/>
            <w:hideMark/>
          </w:tcPr>
          <w:p w14:paraId="7866C54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auto" w:fill="auto"/>
            <w:vAlign w:val="center"/>
            <w:hideMark/>
          </w:tcPr>
          <w:p w14:paraId="19AB4A6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auto" w:fill="auto"/>
            <w:vAlign w:val="center"/>
            <w:hideMark/>
          </w:tcPr>
          <w:p w14:paraId="5B530765"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7 920  </w:t>
            </w:r>
          </w:p>
        </w:tc>
      </w:tr>
      <w:tr w:rsidR="00A3274A" w:rsidRPr="00EF5BD0" w14:paraId="4F274B54" w14:textId="77777777" w:rsidTr="00A3274A">
        <w:trPr>
          <w:trHeight w:val="218"/>
        </w:trPr>
        <w:tc>
          <w:tcPr>
            <w:tcW w:w="1917" w:type="dxa"/>
            <w:vMerge/>
            <w:vAlign w:val="center"/>
            <w:hideMark/>
          </w:tcPr>
          <w:p w14:paraId="57A18076"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69CA179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A4.2.2. Consultations  sur l'évolution du contexte politique </w:t>
            </w:r>
          </w:p>
        </w:tc>
        <w:tc>
          <w:tcPr>
            <w:tcW w:w="4610" w:type="dxa"/>
            <w:shd w:val="clear" w:color="auto" w:fill="auto"/>
            <w:hideMark/>
          </w:tcPr>
          <w:p w14:paraId="08F8DFB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A4.2.2. Mener des consultations avec les leaders politiques, les points focaux des partis politiques, les leaders communautaires, les leaders d'opinion/experts, sur l'évolution du contexte politique </w:t>
            </w:r>
          </w:p>
        </w:tc>
        <w:tc>
          <w:tcPr>
            <w:tcW w:w="417" w:type="dxa"/>
            <w:shd w:val="clear" w:color="000000" w:fill="FFC000"/>
            <w:hideMark/>
          </w:tcPr>
          <w:p w14:paraId="4EAA543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776E277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57EDA7E5"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534EF31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FFFF"/>
            <w:hideMark/>
          </w:tcPr>
          <w:p w14:paraId="16D1106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6D6EFEBB"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FFFF"/>
            <w:hideMark/>
          </w:tcPr>
          <w:p w14:paraId="562F386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FFFF"/>
            <w:hideMark/>
          </w:tcPr>
          <w:p w14:paraId="6C94AE6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auto" w:fill="auto"/>
            <w:hideMark/>
          </w:tcPr>
          <w:p w14:paraId="1EF3621D"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7A07AB1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133C09F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01573CF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0AC9DF3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auto" w:fill="auto"/>
            <w:vAlign w:val="center"/>
            <w:hideMark/>
          </w:tcPr>
          <w:p w14:paraId="7D841505"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    </w:t>
            </w:r>
          </w:p>
        </w:tc>
      </w:tr>
      <w:tr w:rsidR="00A3274A" w:rsidRPr="00EF5BD0" w14:paraId="516C7CED" w14:textId="77777777" w:rsidTr="00A3274A">
        <w:trPr>
          <w:trHeight w:val="1596"/>
        </w:trPr>
        <w:tc>
          <w:tcPr>
            <w:tcW w:w="1917" w:type="dxa"/>
            <w:vMerge/>
            <w:vAlign w:val="center"/>
            <w:hideMark/>
          </w:tcPr>
          <w:p w14:paraId="3181A3F7"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p>
        </w:tc>
        <w:tc>
          <w:tcPr>
            <w:tcW w:w="2115" w:type="dxa"/>
            <w:shd w:val="clear" w:color="auto" w:fill="auto"/>
            <w:hideMark/>
          </w:tcPr>
          <w:p w14:paraId="557C1B6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A4.2.3 Retraites de réflexion régulières  sur l'état du paysage politique et les principales tendances politiques + impact sur la mise en œuvre du projet </w:t>
            </w:r>
          </w:p>
        </w:tc>
        <w:tc>
          <w:tcPr>
            <w:tcW w:w="4610" w:type="dxa"/>
            <w:shd w:val="clear" w:color="auto" w:fill="auto"/>
            <w:hideMark/>
          </w:tcPr>
          <w:p w14:paraId="15338AF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A4.2.3 organiser des Retraites de réflexion régulières avec  NIMD et ses partenaires, et un groupe d'experts, + Mininter sur l'état du paysage politique et les principales tendances politiques + impact sur la mise en œuvre du projet </w:t>
            </w:r>
          </w:p>
        </w:tc>
        <w:tc>
          <w:tcPr>
            <w:tcW w:w="417" w:type="dxa"/>
            <w:shd w:val="clear" w:color="auto" w:fill="auto"/>
            <w:hideMark/>
          </w:tcPr>
          <w:p w14:paraId="7566218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auto" w:fill="auto"/>
            <w:hideMark/>
          </w:tcPr>
          <w:p w14:paraId="6A2234E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3D54668C"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69EEE08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auto" w:fill="auto"/>
            <w:hideMark/>
          </w:tcPr>
          <w:p w14:paraId="0C286274"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0455B39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auto" w:fill="auto"/>
            <w:hideMark/>
          </w:tcPr>
          <w:p w14:paraId="66D76B3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7139022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3313B46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auto" w:fill="auto"/>
            <w:hideMark/>
          </w:tcPr>
          <w:p w14:paraId="15FDD75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63A4C3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auto" w:fill="auto"/>
            <w:hideMark/>
          </w:tcPr>
          <w:p w14:paraId="4589C0C1"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50B4747E"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auto" w:fill="auto"/>
            <w:vAlign w:val="center"/>
            <w:hideMark/>
          </w:tcPr>
          <w:p w14:paraId="35E5F172" w14:textId="77777777" w:rsidR="00A3274A" w:rsidRPr="00EF5BD0" w:rsidRDefault="00A3274A" w:rsidP="006C4B1E">
            <w:pPr>
              <w:spacing w:after="0" w:line="240" w:lineRule="auto"/>
              <w:jc w:val="center"/>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8 844  </w:t>
            </w:r>
          </w:p>
        </w:tc>
      </w:tr>
      <w:tr w:rsidR="00A3274A" w:rsidRPr="00EF5BD0" w14:paraId="37BFF0CF" w14:textId="77777777" w:rsidTr="00A3274A">
        <w:trPr>
          <w:trHeight w:val="252"/>
        </w:trPr>
        <w:tc>
          <w:tcPr>
            <w:tcW w:w="1917" w:type="dxa"/>
            <w:shd w:val="clear" w:color="000000" w:fill="000000"/>
            <w:hideMark/>
          </w:tcPr>
          <w:p w14:paraId="4A017A1F"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hideMark/>
          </w:tcPr>
          <w:p w14:paraId="35B6D1E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hideMark/>
          </w:tcPr>
          <w:p w14:paraId="41A042B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hideMark/>
          </w:tcPr>
          <w:p w14:paraId="3C2B791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hideMark/>
          </w:tcPr>
          <w:p w14:paraId="6AD1135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71DFBBF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2F3B823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hideMark/>
          </w:tcPr>
          <w:p w14:paraId="18FE954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79B27C5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hideMark/>
          </w:tcPr>
          <w:p w14:paraId="4F591FD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2927A69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hideMark/>
          </w:tcPr>
          <w:p w14:paraId="712FCC9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hideMark/>
          </w:tcPr>
          <w:p w14:paraId="51C9C5B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44B2716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hideMark/>
          </w:tcPr>
          <w:p w14:paraId="0CB5E65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vAlign w:val="center"/>
            <w:hideMark/>
          </w:tcPr>
          <w:p w14:paraId="39529AF5"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noWrap/>
            <w:vAlign w:val="bottom"/>
            <w:hideMark/>
          </w:tcPr>
          <w:p w14:paraId="310F6C71"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16 764  </w:t>
            </w:r>
          </w:p>
        </w:tc>
      </w:tr>
      <w:tr w:rsidR="00A3274A" w:rsidRPr="00EF5BD0" w14:paraId="737C541A" w14:textId="77777777" w:rsidTr="00A3274A">
        <w:trPr>
          <w:trHeight w:val="960"/>
        </w:trPr>
        <w:tc>
          <w:tcPr>
            <w:tcW w:w="1917" w:type="dxa"/>
            <w:shd w:val="clear" w:color="auto" w:fill="auto"/>
            <w:hideMark/>
          </w:tcPr>
          <w:p w14:paraId="59861328" w14:textId="77777777" w:rsidR="00A3274A" w:rsidRPr="00911768" w:rsidRDefault="00A3274A" w:rsidP="006C4B1E">
            <w:pPr>
              <w:spacing w:after="0" w:line="240" w:lineRule="auto"/>
              <w:rPr>
                <w:rFonts w:ascii="Times New Roman" w:eastAsia="Times New Roman" w:hAnsi="Times New Roman" w:cs="Times New Roman"/>
                <w:b/>
                <w:bCs/>
                <w:color w:val="000000"/>
                <w:sz w:val="18"/>
                <w:szCs w:val="18"/>
                <w:lang w:val="fr-FR"/>
              </w:rPr>
            </w:pPr>
            <w:r w:rsidRPr="00911768">
              <w:rPr>
                <w:rFonts w:ascii="Times New Roman" w:eastAsia="Times New Roman" w:hAnsi="Times New Roman" w:cs="Times New Roman"/>
                <w:b/>
                <w:bCs/>
                <w:color w:val="000000"/>
                <w:sz w:val="18"/>
                <w:szCs w:val="18"/>
                <w:lang w:val="fr-FR"/>
              </w:rPr>
              <w:t>4.3 Capacité de mise en œuvre des partenaires locaux de mise en œuvre assurée</w:t>
            </w:r>
          </w:p>
        </w:tc>
        <w:tc>
          <w:tcPr>
            <w:tcW w:w="2115" w:type="dxa"/>
            <w:shd w:val="clear" w:color="auto" w:fill="auto"/>
            <w:hideMark/>
          </w:tcPr>
          <w:p w14:paraId="0799DD3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A4.2.3 1 Soutien aux capacités</w:t>
            </w:r>
          </w:p>
        </w:tc>
        <w:tc>
          <w:tcPr>
            <w:tcW w:w="4610" w:type="dxa"/>
            <w:shd w:val="clear" w:color="auto" w:fill="auto"/>
            <w:hideMark/>
          </w:tcPr>
          <w:p w14:paraId="34C77DB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xml:space="preserve">4.3.1 Soutien techique aux capacités des partenaires </w:t>
            </w:r>
          </w:p>
        </w:tc>
        <w:tc>
          <w:tcPr>
            <w:tcW w:w="417" w:type="dxa"/>
            <w:shd w:val="clear" w:color="000000" w:fill="FFC000"/>
            <w:hideMark/>
          </w:tcPr>
          <w:p w14:paraId="642E91F2"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26" w:type="dxa"/>
            <w:shd w:val="clear" w:color="000000" w:fill="FFC000"/>
            <w:hideMark/>
          </w:tcPr>
          <w:p w14:paraId="69A1E12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0247991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0FC9E8B8"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86" w:type="dxa"/>
            <w:shd w:val="clear" w:color="000000" w:fill="FFC000"/>
            <w:hideMark/>
          </w:tcPr>
          <w:p w14:paraId="4FF1A6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047A1F9A"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06" w:type="dxa"/>
            <w:shd w:val="clear" w:color="000000" w:fill="FFC000"/>
            <w:hideMark/>
          </w:tcPr>
          <w:p w14:paraId="5C1B0300"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134F0FB6"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17" w:type="dxa"/>
            <w:shd w:val="clear" w:color="000000" w:fill="FFC000"/>
            <w:hideMark/>
          </w:tcPr>
          <w:p w14:paraId="5B1A847E"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57" w:type="dxa"/>
            <w:shd w:val="clear" w:color="000000" w:fill="FFC000"/>
            <w:hideMark/>
          </w:tcPr>
          <w:p w14:paraId="2359CBA3"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46E5FB57"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346" w:type="dxa"/>
            <w:shd w:val="clear" w:color="000000" w:fill="FFC000"/>
            <w:hideMark/>
          </w:tcPr>
          <w:p w14:paraId="7FE80B3F" w14:textId="77777777" w:rsidR="00A3274A" w:rsidRPr="00911768" w:rsidRDefault="00A3274A" w:rsidP="006C4B1E">
            <w:pPr>
              <w:spacing w:after="0" w:line="240" w:lineRule="auto"/>
              <w:rPr>
                <w:rFonts w:ascii="Times New Roman" w:eastAsia="Times New Roman" w:hAnsi="Times New Roman" w:cs="Times New Roman"/>
                <w:color w:val="000000"/>
                <w:sz w:val="18"/>
                <w:szCs w:val="18"/>
                <w:lang w:val="fr-FR"/>
              </w:rPr>
            </w:pPr>
            <w:r w:rsidRPr="00911768">
              <w:rPr>
                <w:rFonts w:ascii="Times New Roman" w:eastAsia="Times New Roman" w:hAnsi="Times New Roman" w:cs="Times New Roman"/>
                <w:color w:val="000000"/>
                <w:sz w:val="18"/>
                <w:szCs w:val="18"/>
                <w:lang w:val="fr-FR"/>
              </w:rPr>
              <w:t> </w:t>
            </w:r>
          </w:p>
        </w:tc>
        <w:tc>
          <w:tcPr>
            <w:tcW w:w="1236" w:type="dxa"/>
            <w:shd w:val="clear" w:color="auto" w:fill="auto"/>
            <w:vAlign w:val="center"/>
            <w:hideMark/>
          </w:tcPr>
          <w:p w14:paraId="04047D81"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NIMD</w:t>
            </w:r>
          </w:p>
        </w:tc>
        <w:tc>
          <w:tcPr>
            <w:tcW w:w="954" w:type="dxa"/>
            <w:shd w:val="clear" w:color="000000" w:fill="FFFFFF"/>
            <w:hideMark/>
          </w:tcPr>
          <w:p w14:paraId="3B4F7D07"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10 000  </w:t>
            </w:r>
          </w:p>
        </w:tc>
      </w:tr>
      <w:tr w:rsidR="00A3274A" w:rsidRPr="00EF5BD0" w14:paraId="4006EE8B" w14:textId="77777777" w:rsidTr="00A3274A">
        <w:trPr>
          <w:trHeight w:val="240"/>
        </w:trPr>
        <w:tc>
          <w:tcPr>
            <w:tcW w:w="1917" w:type="dxa"/>
            <w:shd w:val="clear" w:color="000000" w:fill="000000"/>
            <w:noWrap/>
            <w:hideMark/>
          </w:tcPr>
          <w:p w14:paraId="03B34C21"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2115" w:type="dxa"/>
            <w:shd w:val="clear" w:color="000000" w:fill="000000"/>
            <w:noWrap/>
            <w:vAlign w:val="bottom"/>
            <w:hideMark/>
          </w:tcPr>
          <w:p w14:paraId="107C4A0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610" w:type="dxa"/>
            <w:shd w:val="clear" w:color="000000" w:fill="000000"/>
            <w:noWrap/>
            <w:vAlign w:val="bottom"/>
            <w:hideMark/>
          </w:tcPr>
          <w:p w14:paraId="0B2FF52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000000"/>
            <w:noWrap/>
            <w:vAlign w:val="bottom"/>
            <w:hideMark/>
          </w:tcPr>
          <w:p w14:paraId="49DCF5D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000000"/>
            <w:noWrap/>
            <w:vAlign w:val="bottom"/>
            <w:hideMark/>
          </w:tcPr>
          <w:p w14:paraId="3CD0320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1A1C89EB"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53E3BF8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000000"/>
            <w:noWrap/>
            <w:vAlign w:val="bottom"/>
            <w:hideMark/>
          </w:tcPr>
          <w:p w14:paraId="6336AE7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43D0466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000000"/>
            <w:noWrap/>
            <w:vAlign w:val="bottom"/>
            <w:hideMark/>
          </w:tcPr>
          <w:p w14:paraId="2829AD3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61E701F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000000"/>
            <w:noWrap/>
            <w:vAlign w:val="bottom"/>
            <w:hideMark/>
          </w:tcPr>
          <w:p w14:paraId="7643BC5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000000"/>
            <w:noWrap/>
            <w:vAlign w:val="bottom"/>
            <w:hideMark/>
          </w:tcPr>
          <w:p w14:paraId="1F9D64B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742DBE4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000000"/>
            <w:noWrap/>
            <w:vAlign w:val="bottom"/>
            <w:hideMark/>
          </w:tcPr>
          <w:p w14:paraId="19E9CF63"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000000"/>
            <w:noWrap/>
            <w:vAlign w:val="center"/>
            <w:hideMark/>
          </w:tcPr>
          <w:p w14:paraId="39C5CCED"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000000"/>
            <w:noWrap/>
            <w:vAlign w:val="bottom"/>
            <w:hideMark/>
          </w:tcPr>
          <w:p w14:paraId="74537045"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10 000  </w:t>
            </w:r>
          </w:p>
        </w:tc>
      </w:tr>
      <w:tr w:rsidR="00A3274A" w:rsidRPr="00EF5BD0" w14:paraId="45A95257" w14:textId="77777777" w:rsidTr="00A3274A">
        <w:trPr>
          <w:trHeight w:val="240"/>
        </w:trPr>
        <w:tc>
          <w:tcPr>
            <w:tcW w:w="1917" w:type="dxa"/>
            <w:shd w:val="clear" w:color="000000" w:fill="ED7D31"/>
            <w:hideMark/>
          </w:tcPr>
          <w:p w14:paraId="64FA1E7D"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xml:space="preserve">Total OLT4 </w:t>
            </w:r>
          </w:p>
        </w:tc>
        <w:tc>
          <w:tcPr>
            <w:tcW w:w="2115" w:type="dxa"/>
            <w:shd w:val="clear" w:color="000000" w:fill="ED7D31"/>
            <w:noWrap/>
            <w:hideMark/>
          </w:tcPr>
          <w:p w14:paraId="6A709300" w14:textId="77777777" w:rsidR="00A3274A" w:rsidRPr="00EF5BD0" w:rsidRDefault="00A3274A" w:rsidP="006C4B1E">
            <w:pPr>
              <w:spacing w:after="0" w:line="240" w:lineRule="auto"/>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4610" w:type="dxa"/>
            <w:shd w:val="clear" w:color="000000" w:fill="ED7D31"/>
            <w:noWrap/>
            <w:vAlign w:val="bottom"/>
            <w:hideMark/>
          </w:tcPr>
          <w:p w14:paraId="7BC44EE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417" w:type="dxa"/>
            <w:shd w:val="clear" w:color="000000" w:fill="ED7D31"/>
            <w:noWrap/>
            <w:vAlign w:val="bottom"/>
            <w:hideMark/>
          </w:tcPr>
          <w:p w14:paraId="3514B177"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26" w:type="dxa"/>
            <w:shd w:val="clear" w:color="000000" w:fill="ED7D31"/>
            <w:noWrap/>
            <w:vAlign w:val="bottom"/>
            <w:hideMark/>
          </w:tcPr>
          <w:p w14:paraId="75E8F446"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noWrap/>
            <w:vAlign w:val="bottom"/>
            <w:hideMark/>
          </w:tcPr>
          <w:p w14:paraId="04F01DA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0AAEBC88"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86" w:type="dxa"/>
            <w:shd w:val="clear" w:color="000000" w:fill="ED7D31"/>
            <w:noWrap/>
            <w:vAlign w:val="bottom"/>
            <w:hideMark/>
          </w:tcPr>
          <w:p w14:paraId="6C83629A"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noWrap/>
            <w:vAlign w:val="bottom"/>
            <w:hideMark/>
          </w:tcPr>
          <w:p w14:paraId="076AACCD"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06" w:type="dxa"/>
            <w:shd w:val="clear" w:color="000000" w:fill="ED7D31"/>
            <w:noWrap/>
            <w:vAlign w:val="bottom"/>
            <w:hideMark/>
          </w:tcPr>
          <w:p w14:paraId="2273FBE2"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5692C48C"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17" w:type="dxa"/>
            <w:shd w:val="clear" w:color="000000" w:fill="ED7D31"/>
            <w:noWrap/>
            <w:vAlign w:val="bottom"/>
            <w:hideMark/>
          </w:tcPr>
          <w:p w14:paraId="578B1895"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57" w:type="dxa"/>
            <w:shd w:val="clear" w:color="000000" w:fill="ED7D31"/>
            <w:noWrap/>
            <w:vAlign w:val="bottom"/>
            <w:hideMark/>
          </w:tcPr>
          <w:p w14:paraId="0E3AF149"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0647393E"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346" w:type="dxa"/>
            <w:shd w:val="clear" w:color="000000" w:fill="ED7D31"/>
            <w:noWrap/>
            <w:vAlign w:val="bottom"/>
            <w:hideMark/>
          </w:tcPr>
          <w:p w14:paraId="756BAA14" w14:textId="77777777" w:rsidR="00A3274A" w:rsidRPr="00EF5BD0" w:rsidRDefault="00A3274A" w:rsidP="006C4B1E">
            <w:pPr>
              <w:spacing w:after="0" w:line="240" w:lineRule="auto"/>
              <w:rPr>
                <w:rFonts w:ascii="Times New Roman" w:eastAsia="Times New Roman" w:hAnsi="Times New Roman" w:cs="Times New Roman"/>
                <w:color w:val="000000"/>
                <w:sz w:val="18"/>
                <w:szCs w:val="18"/>
              </w:rPr>
            </w:pPr>
            <w:r w:rsidRPr="00EF5BD0">
              <w:rPr>
                <w:rFonts w:ascii="Times New Roman" w:eastAsia="Times New Roman" w:hAnsi="Times New Roman" w:cs="Times New Roman"/>
                <w:color w:val="000000"/>
                <w:sz w:val="18"/>
                <w:szCs w:val="18"/>
              </w:rPr>
              <w:t> </w:t>
            </w:r>
          </w:p>
        </w:tc>
        <w:tc>
          <w:tcPr>
            <w:tcW w:w="1236" w:type="dxa"/>
            <w:shd w:val="clear" w:color="000000" w:fill="ED7D31"/>
            <w:noWrap/>
            <w:vAlign w:val="center"/>
            <w:hideMark/>
          </w:tcPr>
          <w:p w14:paraId="3E68C810" w14:textId="77777777" w:rsidR="00A3274A" w:rsidRPr="00EF5BD0" w:rsidRDefault="00A3274A" w:rsidP="006C4B1E">
            <w:pPr>
              <w:spacing w:after="0" w:line="240" w:lineRule="auto"/>
              <w:jc w:val="center"/>
              <w:rPr>
                <w:rFonts w:ascii="Times New Roman" w:eastAsia="Times New Roman" w:hAnsi="Times New Roman" w:cs="Times New Roman"/>
                <w:b/>
                <w:bCs/>
                <w:color w:val="000000"/>
                <w:sz w:val="18"/>
                <w:szCs w:val="18"/>
              </w:rPr>
            </w:pPr>
            <w:r w:rsidRPr="00EF5BD0">
              <w:rPr>
                <w:rFonts w:ascii="Times New Roman" w:eastAsia="Times New Roman" w:hAnsi="Times New Roman" w:cs="Times New Roman"/>
                <w:b/>
                <w:bCs/>
                <w:color w:val="000000"/>
                <w:sz w:val="18"/>
                <w:szCs w:val="18"/>
              </w:rPr>
              <w:t> </w:t>
            </w:r>
          </w:p>
        </w:tc>
        <w:tc>
          <w:tcPr>
            <w:tcW w:w="954" w:type="dxa"/>
            <w:shd w:val="clear" w:color="000000" w:fill="ED7D31"/>
            <w:noWrap/>
            <w:vAlign w:val="bottom"/>
            <w:hideMark/>
          </w:tcPr>
          <w:p w14:paraId="54CFDEF5" w14:textId="77777777" w:rsidR="00A3274A" w:rsidRPr="00EF5BD0" w:rsidRDefault="00A3274A" w:rsidP="006C4B1E">
            <w:pPr>
              <w:spacing w:after="0" w:line="240" w:lineRule="auto"/>
              <w:rPr>
                <w:rFonts w:ascii="Times New Roman" w:eastAsia="Times New Roman" w:hAnsi="Times New Roman" w:cs="Times New Roman"/>
                <w:b/>
                <w:bCs/>
                <w:sz w:val="18"/>
                <w:szCs w:val="18"/>
              </w:rPr>
            </w:pPr>
            <w:r w:rsidRPr="00EF5BD0">
              <w:rPr>
                <w:rFonts w:ascii="Times New Roman" w:eastAsia="Times New Roman" w:hAnsi="Times New Roman" w:cs="Times New Roman"/>
                <w:b/>
                <w:bCs/>
                <w:sz w:val="18"/>
                <w:szCs w:val="18"/>
              </w:rPr>
              <w:t xml:space="preserve">     49 866  </w:t>
            </w:r>
          </w:p>
        </w:tc>
      </w:tr>
      <w:tr w:rsidR="00A3274A" w:rsidRPr="00EF5BD0" w14:paraId="35D6044E" w14:textId="77777777" w:rsidTr="00A3274A">
        <w:trPr>
          <w:trHeight w:val="240"/>
        </w:trPr>
        <w:tc>
          <w:tcPr>
            <w:tcW w:w="1917" w:type="dxa"/>
            <w:shd w:val="clear" w:color="000000" w:fill="000000"/>
            <w:noWrap/>
            <w:hideMark/>
          </w:tcPr>
          <w:p w14:paraId="0BC8BEAE" w14:textId="77777777" w:rsidR="00A3274A" w:rsidRPr="00EF5BD0" w:rsidRDefault="00A3274A" w:rsidP="006C4B1E">
            <w:pPr>
              <w:spacing w:after="0" w:line="240" w:lineRule="auto"/>
              <w:rPr>
                <w:rFonts w:ascii="Times New Roman" w:eastAsia="Times New Roman" w:hAnsi="Times New Roman" w:cs="Times New Roman"/>
                <w:b/>
                <w:bCs/>
                <w:color w:val="FFFFFF"/>
                <w:sz w:val="18"/>
                <w:szCs w:val="18"/>
              </w:rPr>
            </w:pPr>
            <w:r w:rsidRPr="00EF5BD0">
              <w:rPr>
                <w:rFonts w:ascii="Times New Roman" w:eastAsia="Times New Roman" w:hAnsi="Times New Roman" w:cs="Times New Roman"/>
                <w:b/>
                <w:bCs/>
                <w:color w:val="FFFFFF"/>
                <w:sz w:val="18"/>
                <w:szCs w:val="18"/>
              </w:rPr>
              <w:t>Total général</w:t>
            </w:r>
          </w:p>
        </w:tc>
        <w:tc>
          <w:tcPr>
            <w:tcW w:w="2115" w:type="dxa"/>
            <w:shd w:val="clear" w:color="000000" w:fill="000000"/>
            <w:noWrap/>
            <w:hideMark/>
          </w:tcPr>
          <w:p w14:paraId="2F47E258" w14:textId="77777777" w:rsidR="00A3274A" w:rsidRPr="00EF5BD0" w:rsidRDefault="00A3274A" w:rsidP="006C4B1E">
            <w:pPr>
              <w:spacing w:after="0" w:line="240" w:lineRule="auto"/>
              <w:rPr>
                <w:rFonts w:ascii="Times New Roman" w:eastAsia="Times New Roman" w:hAnsi="Times New Roman" w:cs="Times New Roman"/>
                <w:b/>
                <w:bCs/>
                <w:color w:val="FFFFFF"/>
                <w:sz w:val="18"/>
                <w:szCs w:val="18"/>
              </w:rPr>
            </w:pPr>
            <w:r w:rsidRPr="00EF5BD0">
              <w:rPr>
                <w:rFonts w:ascii="Times New Roman" w:eastAsia="Times New Roman" w:hAnsi="Times New Roman" w:cs="Times New Roman"/>
                <w:b/>
                <w:bCs/>
                <w:color w:val="FFFFFF"/>
                <w:sz w:val="18"/>
                <w:szCs w:val="18"/>
              </w:rPr>
              <w:t> </w:t>
            </w:r>
          </w:p>
        </w:tc>
        <w:tc>
          <w:tcPr>
            <w:tcW w:w="4610" w:type="dxa"/>
            <w:shd w:val="clear" w:color="000000" w:fill="000000"/>
            <w:noWrap/>
            <w:vAlign w:val="center"/>
            <w:hideMark/>
          </w:tcPr>
          <w:p w14:paraId="73C3083B"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417" w:type="dxa"/>
            <w:shd w:val="clear" w:color="000000" w:fill="000000"/>
            <w:noWrap/>
            <w:vAlign w:val="center"/>
            <w:hideMark/>
          </w:tcPr>
          <w:p w14:paraId="1C1FBD77"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26" w:type="dxa"/>
            <w:shd w:val="clear" w:color="000000" w:fill="000000"/>
            <w:noWrap/>
            <w:vAlign w:val="center"/>
            <w:hideMark/>
          </w:tcPr>
          <w:p w14:paraId="08B445CA"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86" w:type="dxa"/>
            <w:shd w:val="clear" w:color="000000" w:fill="000000"/>
            <w:noWrap/>
            <w:vAlign w:val="center"/>
            <w:hideMark/>
          </w:tcPr>
          <w:p w14:paraId="06E61BC5"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46" w:type="dxa"/>
            <w:shd w:val="clear" w:color="000000" w:fill="000000"/>
            <w:noWrap/>
            <w:vAlign w:val="center"/>
            <w:hideMark/>
          </w:tcPr>
          <w:p w14:paraId="44C40FAF"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86" w:type="dxa"/>
            <w:shd w:val="clear" w:color="000000" w:fill="000000"/>
            <w:noWrap/>
            <w:vAlign w:val="center"/>
            <w:hideMark/>
          </w:tcPr>
          <w:p w14:paraId="309A927A"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06" w:type="dxa"/>
            <w:shd w:val="clear" w:color="000000" w:fill="000000"/>
            <w:noWrap/>
            <w:vAlign w:val="center"/>
            <w:hideMark/>
          </w:tcPr>
          <w:p w14:paraId="34F22D5C"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06" w:type="dxa"/>
            <w:shd w:val="clear" w:color="000000" w:fill="000000"/>
            <w:noWrap/>
            <w:vAlign w:val="center"/>
            <w:hideMark/>
          </w:tcPr>
          <w:p w14:paraId="49C2F07F"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46" w:type="dxa"/>
            <w:shd w:val="clear" w:color="000000" w:fill="000000"/>
            <w:noWrap/>
            <w:vAlign w:val="center"/>
            <w:hideMark/>
          </w:tcPr>
          <w:p w14:paraId="56911C51"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17" w:type="dxa"/>
            <w:shd w:val="clear" w:color="000000" w:fill="000000"/>
            <w:noWrap/>
            <w:vAlign w:val="center"/>
            <w:hideMark/>
          </w:tcPr>
          <w:p w14:paraId="17F823A6"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57" w:type="dxa"/>
            <w:shd w:val="clear" w:color="000000" w:fill="000000"/>
            <w:noWrap/>
            <w:vAlign w:val="center"/>
            <w:hideMark/>
          </w:tcPr>
          <w:p w14:paraId="257C5114"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46" w:type="dxa"/>
            <w:shd w:val="clear" w:color="000000" w:fill="000000"/>
            <w:noWrap/>
            <w:vAlign w:val="center"/>
            <w:hideMark/>
          </w:tcPr>
          <w:p w14:paraId="2D3F2177"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346" w:type="dxa"/>
            <w:shd w:val="clear" w:color="000000" w:fill="000000"/>
            <w:noWrap/>
            <w:vAlign w:val="center"/>
            <w:hideMark/>
          </w:tcPr>
          <w:p w14:paraId="69F3AAB8" w14:textId="77777777" w:rsidR="00A3274A" w:rsidRPr="00EF5BD0" w:rsidRDefault="00A3274A" w:rsidP="006C4B1E">
            <w:pPr>
              <w:spacing w:after="0" w:line="240" w:lineRule="auto"/>
              <w:rPr>
                <w:rFonts w:ascii="Times New Roman" w:eastAsia="Times New Roman" w:hAnsi="Times New Roman" w:cs="Times New Roman"/>
                <w:color w:val="FFFFFF"/>
                <w:sz w:val="18"/>
                <w:szCs w:val="18"/>
              </w:rPr>
            </w:pPr>
            <w:r w:rsidRPr="00EF5BD0">
              <w:rPr>
                <w:rFonts w:ascii="Times New Roman" w:eastAsia="Times New Roman" w:hAnsi="Times New Roman" w:cs="Times New Roman"/>
                <w:color w:val="FFFFFF"/>
                <w:sz w:val="18"/>
                <w:szCs w:val="18"/>
              </w:rPr>
              <w:t> </w:t>
            </w:r>
          </w:p>
        </w:tc>
        <w:tc>
          <w:tcPr>
            <w:tcW w:w="1236" w:type="dxa"/>
            <w:shd w:val="clear" w:color="000000" w:fill="000000"/>
            <w:noWrap/>
            <w:vAlign w:val="center"/>
            <w:hideMark/>
          </w:tcPr>
          <w:p w14:paraId="43E9428A" w14:textId="77777777" w:rsidR="00A3274A" w:rsidRPr="00EF5BD0" w:rsidRDefault="00A3274A" w:rsidP="006C4B1E">
            <w:pPr>
              <w:spacing w:after="0" w:line="240" w:lineRule="auto"/>
              <w:jc w:val="center"/>
              <w:rPr>
                <w:rFonts w:ascii="Times New Roman" w:eastAsia="Times New Roman" w:hAnsi="Times New Roman" w:cs="Times New Roman"/>
                <w:b/>
                <w:bCs/>
                <w:color w:val="FFFFFF"/>
                <w:sz w:val="18"/>
                <w:szCs w:val="18"/>
              </w:rPr>
            </w:pPr>
            <w:r w:rsidRPr="00EF5BD0">
              <w:rPr>
                <w:rFonts w:ascii="Times New Roman" w:eastAsia="Times New Roman" w:hAnsi="Times New Roman" w:cs="Times New Roman"/>
                <w:b/>
                <w:bCs/>
                <w:color w:val="FFFFFF"/>
                <w:sz w:val="18"/>
                <w:szCs w:val="18"/>
              </w:rPr>
              <w:t> </w:t>
            </w:r>
          </w:p>
        </w:tc>
        <w:tc>
          <w:tcPr>
            <w:tcW w:w="954" w:type="dxa"/>
            <w:shd w:val="clear" w:color="000000" w:fill="000000"/>
            <w:noWrap/>
            <w:vAlign w:val="center"/>
            <w:hideMark/>
          </w:tcPr>
          <w:p w14:paraId="66AA7EF9" w14:textId="77777777" w:rsidR="00A3274A" w:rsidRPr="00EF5BD0" w:rsidRDefault="00A3274A" w:rsidP="006C4B1E">
            <w:pPr>
              <w:spacing w:after="0" w:line="240" w:lineRule="auto"/>
              <w:rPr>
                <w:rFonts w:ascii="Times New Roman" w:eastAsia="Times New Roman" w:hAnsi="Times New Roman" w:cs="Times New Roman"/>
                <w:b/>
                <w:bCs/>
                <w:color w:val="FF0000"/>
                <w:sz w:val="18"/>
                <w:szCs w:val="18"/>
              </w:rPr>
            </w:pPr>
            <w:r w:rsidRPr="00EF5BD0">
              <w:rPr>
                <w:rFonts w:ascii="Times New Roman" w:eastAsia="Times New Roman" w:hAnsi="Times New Roman" w:cs="Times New Roman"/>
                <w:b/>
                <w:bCs/>
                <w:color w:val="FF0000"/>
                <w:sz w:val="18"/>
                <w:szCs w:val="18"/>
              </w:rPr>
              <w:t xml:space="preserve">  573 979  </w:t>
            </w:r>
          </w:p>
        </w:tc>
      </w:tr>
    </w:tbl>
    <w:p w14:paraId="3725B1D2" w14:textId="77777777" w:rsidR="00CB2CD8" w:rsidRPr="0004134A" w:rsidRDefault="00CB2CD8" w:rsidP="00602D04">
      <w:pPr>
        <w:spacing w:after="0"/>
        <w:ind w:left="708"/>
        <w:jc w:val="both"/>
        <w:rPr>
          <w:rFonts w:ascii="Times New Roman" w:hAnsi="Times New Roman" w:cs="Times New Roman"/>
          <w:b/>
          <w:sz w:val="24"/>
          <w:szCs w:val="24"/>
          <w:lang w:val="fr-FR"/>
        </w:rPr>
        <w:sectPr w:rsidR="00CB2CD8" w:rsidRPr="0004134A" w:rsidSect="00602D04">
          <w:pgSz w:w="15840" w:h="12240" w:orient="landscape"/>
          <w:pgMar w:top="720" w:right="720" w:bottom="720" w:left="720" w:header="720" w:footer="720" w:gutter="0"/>
          <w:cols w:space="720"/>
          <w:docGrid w:linePitch="360"/>
        </w:sectPr>
      </w:pPr>
    </w:p>
    <w:p w14:paraId="583210A4" w14:textId="3AA1A828" w:rsidR="00B30D2E" w:rsidRPr="0004134A" w:rsidRDefault="00B30D2E" w:rsidP="00C13A3F">
      <w:pPr>
        <w:pStyle w:val="ListParagraph"/>
        <w:numPr>
          <w:ilvl w:val="0"/>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lastRenderedPageBreak/>
        <w:t xml:space="preserve">Conclusions </w:t>
      </w:r>
    </w:p>
    <w:p w14:paraId="796254FA" w14:textId="44F27684" w:rsidR="00B30D2E" w:rsidRPr="0004134A" w:rsidRDefault="00B30D2E" w:rsidP="00D53074">
      <w:pPr>
        <w:spacing w:after="0"/>
        <w:jc w:val="both"/>
        <w:rPr>
          <w:rFonts w:ascii="Times New Roman" w:hAnsi="Times New Roman" w:cs="Times New Roman"/>
          <w:b/>
          <w:sz w:val="24"/>
          <w:szCs w:val="24"/>
          <w:lang w:val="fr-FR"/>
        </w:rPr>
      </w:pPr>
    </w:p>
    <w:p w14:paraId="62049E21" w14:textId="31B751A8" w:rsidR="00B30D2E" w:rsidRPr="0004134A" w:rsidRDefault="00A67EA3" w:rsidP="00724ADD">
      <w:pPr>
        <w:pStyle w:val="ListParagraph"/>
        <w:spacing w:after="0"/>
        <w:ind w:left="106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En conclusion, l’année 2023 aura été pour NIMD une année charnière, une année tampon entre deux modes opératoires, deux approches de partenariats</w:t>
      </w:r>
      <w:r w:rsidR="00476F1C" w:rsidRPr="0004134A">
        <w:rPr>
          <w:rFonts w:ascii="Times New Roman" w:hAnsi="Times New Roman" w:cs="Times New Roman"/>
          <w:bCs/>
          <w:sz w:val="24"/>
          <w:szCs w:val="24"/>
          <w:lang w:val="fr-FR"/>
        </w:rPr>
        <w:t>, une année dominée par le processus d’installation du bureau-pays</w:t>
      </w:r>
      <w:r w:rsidRPr="0004134A">
        <w:rPr>
          <w:rFonts w:ascii="Times New Roman" w:hAnsi="Times New Roman" w:cs="Times New Roman"/>
          <w:bCs/>
          <w:sz w:val="24"/>
          <w:szCs w:val="24"/>
          <w:lang w:val="fr-FR"/>
        </w:rPr>
        <w:t xml:space="preserve"> après plus d’une décennie d’intervention à distance et par procuration, </w:t>
      </w:r>
      <w:r w:rsidR="00476F1C" w:rsidRPr="0004134A">
        <w:rPr>
          <w:rFonts w:ascii="Times New Roman" w:hAnsi="Times New Roman" w:cs="Times New Roman"/>
          <w:bCs/>
          <w:sz w:val="24"/>
          <w:szCs w:val="24"/>
          <w:lang w:val="fr-FR"/>
        </w:rPr>
        <w:t xml:space="preserve">mais aussi </w:t>
      </w:r>
      <w:r w:rsidRPr="0004134A">
        <w:rPr>
          <w:rFonts w:ascii="Times New Roman" w:hAnsi="Times New Roman" w:cs="Times New Roman"/>
          <w:bCs/>
          <w:sz w:val="24"/>
          <w:szCs w:val="24"/>
          <w:lang w:val="fr-FR"/>
        </w:rPr>
        <w:t>une année</w:t>
      </w:r>
      <w:r w:rsidR="00476F1C" w:rsidRPr="0004134A">
        <w:rPr>
          <w:rFonts w:ascii="Times New Roman" w:hAnsi="Times New Roman" w:cs="Times New Roman"/>
          <w:bCs/>
          <w:sz w:val="24"/>
          <w:szCs w:val="24"/>
          <w:lang w:val="fr-FR"/>
        </w:rPr>
        <w:t xml:space="preserve"> de sevrage pour </w:t>
      </w:r>
      <w:r w:rsidR="00A4092B" w:rsidRPr="0004134A">
        <w:rPr>
          <w:rFonts w:ascii="Times New Roman" w:hAnsi="Times New Roman" w:cs="Times New Roman"/>
          <w:bCs/>
          <w:sz w:val="24"/>
          <w:szCs w:val="24"/>
          <w:lang w:val="fr-FR"/>
        </w:rPr>
        <w:t xml:space="preserve">le </w:t>
      </w:r>
      <w:r w:rsidR="00476F1C" w:rsidRPr="0004134A">
        <w:rPr>
          <w:rFonts w:ascii="Times New Roman" w:hAnsi="Times New Roman" w:cs="Times New Roman"/>
          <w:bCs/>
          <w:sz w:val="24"/>
          <w:szCs w:val="24"/>
          <w:lang w:val="fr-FR"/>
        </w:rPr>
        <w:t xml:space="preserve">BLTP, partenaire historique de mise en œuvre des activités NIMD au Burundi. </w:t>
      </w:r>
      <w:r w:rsidRPr="0004134A">
        <w:rPr>
          <w:rFonts w:ascii="Times New Roman" w:hAnsi="Times New Roman" w:cs="Times New Roman"/>
          <w:bCs/>
          <w:sz w:val="24"/>
          <w:szCs w:val="24"/>
          <w:lang w:val="fr-FR"/>
        </w:rPr>
        <w:t xml:space="preserve"> </w:t>
      </w:r>
    </w:p>
    <w:p w14:paraId="28DE5540" w14:textId="74794366" w:rsidR="00476F1C" w:rsidRPr="0004134A" w:rsidRDefault="00476F1C" w:rsidP="00A67EA3">
      <w:pPr>
        <w:spacing w:after="0"/>
        <w:ind w:left="708"/>
        <w:jc w:val="both"/>
        <w:rPr>
          <w:rFonts w:ascii="Times New Roman" w:hAnsi="Times New Roman" w:cs="Times New Roman"/>
          <w:bCs/>
          <w:sz w:val="24"/>
          <w:szCs w:val="24"/>
          <w:lang w:val="fr-FR"/>
        </w:rPr>
      </w:pPr>
    </w:p>
    <w:p w14:paraId="339AB5F0" w14:textId="77777777" w:rsidR="00CF19D9" w:rsidRPr="0004134A" w:rsidRDefault="00476F1C" w:rsidP="00724ADD">
      <w:pPr>
        <w:pStyle w:val="ListParagraph"/>
        <w:spacing w:after="0"/>
        <w:ind w:left="106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Au niveau des activités, l’année 2023 aura permis d’avoir une première vue du contexte sociopolitique et des besoins en accompagnement pour les principaux bénéficiaires du projet FIPP que sont les acteurs politiques et les partis politiques.</w:t>
      </w:r>
    </w:p>
    <w:p w14:paraId="51427E2B" w14:textId="77777777" w:rsidR="00CF19D9" w:rsidRPr="0004134A" w:rsidRDefault="00CF19D9" w:rsidP="00CF19D9">
      <w:pPr>
        <w:pStyle w:val="ListParagraph"/>
        <w:rPr>
          <w:rFonts w:ascii="Times New Roman" w:hAnsi="Times New Roman" w:cs="Times New Roman"/>
          <w:bCs/>
          <w:sz w:val="24"/>
          <w:szCs w:val="24"/>
          <w:lang w:val="fr-FR"/>
        </w:rPr>
      </w:pPr>
    </w:p>
    <w:p w14:paraId="38916183" w14:textId="172684FC" w:rsidR="00476F1C" w:rsidRPr="0004134A" w:rsidRDefault="00476F1C" w:rsidP="00724ADD">
      <w:pPr>
        <w:pStyle w:val="ListParagraph"/>
        <w:spacing w:after="0"/>
        <w:ind w:left="1068"/>
        <w:jc w:val="both"/>
        <w:rPr>
          <w:rFonts w:ascii="Times New Roman" w:hAnsi="Times New Roman" w:cs="Times New Roman"/>
          <w:bCs/>
          <w:sz w:val="24"/>
          <w:szCs w:val="24"/>
          <w:lang w:val="fr-FR"/>
        </w:rPr>
      </w:pPr>
      <w:r w:rsidRPr="0004134A">
        <w:rPr>
          <w:rFonts w:ascii="Times New Roman" w:hAnsi="Times New Roman" w:cs="Times New Roman"/>
          <w:bCs/>
          <w:sz w:val="24"/>
          <w:szCs w:val="24"/>
          <w:lang w:val="fr-FR"/>
        </w:rPr>
        <w:t>En l’absence d’agrément du bureau-pays, la mise en œuvre des premières activités</w:t>
      </w:r>
      <w:r w:rsidR="00281666" w:rsidRPr="0004134A">
        <w:rPr>
          <w:rFonts w:ascii="Times New Roman" w:hAnsi="Times New Roman" w:cs="Times New Roman"/>
          <w:bCs/>
          <w:sz w:val="24"/>
          <w:szCs w:val="24"/>
          <w:lang w:val="fr-FR"/>
        </w:rPr>
        <w:t xml:space="preserve"> a été confiée à des organisations prestataires de services. Ces activités</w:t>
      </w:r>
      <w:r w:rsidRPr="0004134A">
        <w:rPr>
          <w:rFonts w:ascii="Times New Roman" w:hAnsi="Times New Roman" w:cs="Times New Roman"/>
          <w:bCs/>
          <w:sz w:val="24"/>
          <w:szCs w:val="24"/>
          <w:lang w:val="fr-FR"/>
        </w:rPr>
        <w:t xml:space="preserve"> port</w:t>
      </w:r>
      <w:r w:rsidR="00281666" w:rsidRPr="0004134A">
        <w:rPr>
          <w:rFonts w:ascii="Times New Roman" w:hAnsi="Times New Roman" w:cs="Times New Roman"/>
          <w:bCs/>
          <w:sz w:val="24"/>
          <w:szCs w:val="24"/>
          <w:lang w:val="fr-FR"/>
        </w:rPr>
        <w:t>e</w:t>
      </w:r>
      <w:r w:rsidRPr="0004134A">
        <w:rPr>
          <w:rFonts w:ascii="Times New Roman" w:hAnsi="Times New Roman" w:cs="Times New Roman"/>
          <w:bCs/>
          <w:sz w:val="24"/>
          <w:szCs w:val="24"/>
          <w:lang w:val="fr-FR"/>
        </w:rPr>
        <w:t xml:space="preserve">nt essentiellement sur la participation politique des jeunes et des femmes, la prévention et la lutte contre la manipulation des jeunes et la lutte contre les violences le dialogue politique et le renforcement des capacités des partis politiques. Toutes ces activités sont en phase de démarrage et l’atteinte des premiers résultats est attendues </w:t>
      </w:r>
      <w:r w:rsidR="00CF19D9" w:rsidRPr="0004134A">
        <w:rPr>
          <w:rFonts w:ascii="Times New Roman" w:hAnsi="Times New Roman" w:cs="Times New Roman"/>
          <w:bCs/>
          <w:sz w:val="24"/>
          <w:szCs w:val="24"/>
          <w:lang w:val="fr-FR"/>
        </w:rPr>
        <w:t>avec le premier trimestre 2024.</w:t>
      </w:r>
    </w:p>
    <w:p w14:paraId="5B2AA68C" w14:textId="77777777" w:rsidR="00A67EA3" w:rsidRPr="0004134A" w:rsidRDefault="00A67EA3" w:rsidP="00A67EA3">
      <w:pPr>
        <w:spacing w:after="0"/>
        <w:ind w:left="708"/>
        <w:jc w:val="both"/>
        <w:rPr>
          <w:rFonts w:ascii="Times New Roman" w:hAnsi="Times New Roman" w:cs="Times New Roman"/>
          <w:bCs/>
          <w:sz w:val="24"/>
          <w:szCs w:val="24"/>
          <w:lang w:val="fr-FR"/>
        </w:rPr>
      </w:pPr>
    </w:p>
    <w:p w14:paraId="5B2401B3" w14:textId="3733E1D8" w:rsidR="00B30D2E" w:rsidRPr="0004134A" w:rsidRDefault="00B30D2E" w:rsidP="00C13A3F">
      <w:pPr>
        <w:pStyle w:val="ListParagraph"/>
        <w:numPr>
          <w:ilvl w:val="0"/>
          <w:numId w:val="47"/>
        </w:numPr>
        <w:spacing w:after="0"/>
        <w:jc w:val="both"/>
        <w:rPr>
          <w:rFonts w:ascii="Times New Roman" w:hAnsi="Times New Roman" w:cs="Times New Roman"/>
          <w:b/>
          <w:sz w:val="24"/>
          <w:szCs w:val="24"/>
          <w:lang w:val="fr-FR"/>
        </w:rPr>
      </w:pPr>
      <w:r w:rsidRPr="0004134A">
        <w:rPr>
          <w:rFonts w:ascii="Times New Roman" w:hAnsi="Times New Roman" w:cs="Times New Roman"/>
          <w:b/>
          <w:sz w:val="24"/>
          <w:szCs w:val="24"/>
          <w:lang w:val="fr-FR"/>
        </w:rPr>
        <w:t>Annexes</w:t>
      </w:r>
    </w:p>
    <w:p w14:paraId="483C72DA" w14:textId="77777777" w:rsidR="00B30D2E" w:rsidRPr="0004134A" w:rsidRDefault="00B30D2E" w:rsidP="00D53074">
      <w:pPr>
        <w:spacing w:after="0"/>
        <w:jc w:val="both"/>
        <w:rPr>
          <w:rFonts w:ascii="Times New Roman" w:hAnsi="Times New Roman" w:cs="Times New Roman"/>
          <w:b/>
          <w:sz w:val="24"/>
          <w:szCs w:val="24"/>
          <w:lang w:val="fr-FR"/>
        </w:rPr>
      </w:pPr>
    </w:p>
    <w:p w14:paraId="6D8AAAE0" w14:textId="52F4FFB2" w:rsidR="001340D3" w:rsidRPr="0004134A" w:rsidRDefault="001340D3" w:rsidP="001340D3">
      <w:pPr>
        <w:pStyle w:val="ListParagraph"/>
        <w:numPr>
          <w:ilvl w:val="0"/>
          <w:numId w:val="34"/>
        </w:numPr>
        <w:spacing w:after="0"/>
        <w:jc w:val="both"/>
        <w:rPr>
          <w:rFonts w:ascii="Times New Roman" w:hAnsi="Times New Roman" w:cs="Times New Roman"/>
          <w:bCs/>
          <w:i/>
          <w:iCs/>
          <w:sz w:val="24"/>
          <w:szCs w:val="24"/>
          <w:lang w:val="fr-FR"/>
        </w:rPr>
      </w:pPr>
      <w:r w:rsidRPr="0004134A">
        <w:rPr>
          <w:rFonts w:ascii="Times New Roman" w:hAnsi="Times New Roman" w:cs="Times New Roman"/>
          <w:bCs/>
          <w:i/>
          <w:iCs/>
          <w:sz w:val="24"/>
          <w:szCs w:val="24"/>
          <w:lang w:val="fr-FR"/>
        </w:rPr>
        <w:t>Rapport</w:t>
      </w:r>
      <w:r w:rsidR="00317A2A" w:rsidRPr="0004134A">
        <w:rPr>
          <w:rFonts w:ascii="Times New Roman" w:hAnsi="Times New Roman" w:cs="Times New Roman"/>
          <w:bCs/>
          <w:i/>
          <w:iCs/>
          <w:sz w:val="24"/>
          <w:szCs w:val="24"/>
          <w:lang w:val="fr-FR"/>
        </w:rPr>
        <w:t xml:space="preserve"> d’analyse du contexte sociopolitique du Burundi, 3è trimestre 2023</w:t>
      </w:r>
      <w:r w:rsidRPr="0004134A">
        <w:rPr>
          <w:rFonts w:ascii="Times New Roman" w:hAnsi="Times New Roman" w:cs="Times New Roman"/>
          <w:bCs/>
          <w:i/>
          <w:iCs/>
          <w:sz w:val="24"/>
          <w:szCs w:val="24"/>
          <w:lang w:val="fr-FR"/>
        </w:rPr>
        <w:t xml:space="preserve"> </w:t>
      </w:r>
    </w:p>
    <w:p w14:paraId="1AECD453" w14:textId="437EC572" w:rsidR="005126BA" w:rsidRPr="0004134A" w:rsidRDefault="001340D3" w:rsidP="001340D3">
      <w:pPr>
        <w:pStyle w:val="ListParagraph"/>
        <w:numPr>
          <w:ilvl w:val="0"/>
          <w:numId w:val="34"/>
        </w:numPr>
        <w:spacing w:after="0"/>
        <w:jc w:val="both"/>
        <w:rPr>
          <w:rFonts w:ascii="Times New Roman" w:hAnsi="Times New Roman" w:cs="Times New Roman"/>
          <w:bCs/>
          <w:i/>
          <w:iCs/>
          <w:sz w:val="24"/>
          <w:szCs w:val="24"/>
          <w:lang w:val="fr-FR"/>
        </w:rPr>
      </w:pPr>
      <w:r w:rsidRPr="0004134A">
        <w:rPr>
          <w:rFonts w:ascii="Times New Roman" w:hAnsi="Times New Roman" w:cs="Times New Roman"/>
          <w:bCs/>
          <w:i/>
          <w:iCs/>
          <w:sz w:val="24"/>
          <w:szCs w:val="24"/>
          <w:lang w:val="fr-FR"/>
        </w:rPr>
        <w:t xml:space="preserve">Rapport </w:t>
      </w:r>
      <w:r w:rsidR="00DC1081" w:rsidRPr="0004134A">
        <w:rPr>
          <w:rFonts w:ascii="Times New Roman" w:hAnsi="Times New Roman" w:cs="Times New Roman"/>
          <w:bCs/>
          <w:i/>
          <w:iCs/>
          <w:sz w:val="24"/>
          <w:szCs w:val="24"/>
          <w:lang w:val="fr-FR"/>
        </w:rPr>
        <w:t>d</w:t>
      </w:r>
      <w:r w:rsidRPr="0004134A">
        <w:rPr>
          <w:rFonts w:ascii="Times New Roman" w:hAnsi="Times New Roman" w:cs="Times New Roman"/>
          <w:bCs/>
          <w:i/>
          <w:iCs/>
          <w:sz w:val="24"/>
          <w:szCs w:val="24"/>
          <w:lang w:val="fr-FR"/>
        </w:rPr>
        <w:t>’évaluation des besoins des partis politiques en matière de renforcement des capacités dans les domaines de l’élaboration des programmes politiques, de la démocratie interne et du développement organisationnel</w:t>
      </w:r>
    </w:p>
    <w:p w14:paraId="71697802" w14:textId="634FED37" w:rsidR="00E938DC" w:rsidRPr="0004134A" w:rsidRDefault="00E938DC" w:rsidP="001340D3">
      <w:pPr>
        <w:pStyle w:val="ListParagraph"/>
        <w:numPr>
          <w:ilvl w:val="0"/>
          <w:numId w:val="34"/>
        </w:numPr>
        <w:spacing w:after="0"/>
        <w:jc w:val="both"/>
        <w:rPr>
          <w:rFonts w:ascii="Times New Roman" w:hAnsi="Times New Roman" w:cs="Times New Roman"/>
          <w:bCs/>
          <w:i/>
          <w:iCs/>
          <w:sz w:val="24"/>
          <w:szCs w:val="24"/>
          <w:lang w:val="fr-FR"/>
        </w:rPr>
      </w:pPr>
      <w:r w:rsidRPr="0004134A">
        <w:rPr>
          <w:rFonts w:ascii="Times New Roman" w:hAnsi="Times New Roman" w:cs="Times New Roman"/>
          <w:bCs/>
          <w:i/>
          <w:iCs/>
          <w:sz w:val="24"/>
          <w:szCs w:val="24"/>
          <w:lang w:val="fr-FR"/>
        </w:rPr>
        <w:t>Rapport du 1</w:t>
      </w:r>
      <w:r w:rsidRPr="0004134A">
        <w:rPr>
          <w:rFonts w:ascii="Times New Roman" w:hAnsi="Times New Roman" w:cs="Times New Roman"/>
          <w:bCs/>
          <w:i/>
          <w:iCs/>
          <w:sz w:val="24"/>
          <w:szCs w:val="24"/>
          <w:vertAlign w:val="superscript"/>
          <w:lang w:val="fr-FR"/>
        </w:rPr>
        <w:t>er</w:t>
      </w:r>
      <w:r w:rsidRPr="0004134A">
        <w:rPr>
          <w:rFonts w:ascii="Times New Roman" w:hAnsi="Times New Roman" w:cs="Times New Roman"/>
          <w:bCs/>
          <w:i/>
          <w:iCs/>
          <w:sz w:val="24"/>
          <w:szCs w:val="24"/>
          <w:lang w:val="fr-FR"/>
        </w:rPr>
        <w:t xml:space="preserve"> dialogue intergénérationnel</w:t>
      </w:r>
    </w:p>
    <w:p w14:paraId="0C4C3385" w14:textId="79BE80F5" w:rsidR="00E938DC" w:rsidRPr="0004134A" w:rsidRDefault="00E938DC" w:rsidP="001340D3">
      <w:pPr>
        <w:pStyle w:val="ListParagraph"/>
        <w:numPr>
          <w:ilvl w:val="0"/>
          <w:numId w:val="34"/>
        </w:numPr>
        <w:spacing w:after="0"/>
        <w:jc w:val="both"/>
        <w:rPr>
          <w:rFonts w:ascii="Times New Roman" w:hAnsi="Times New Roman" w:cs="Times New Roman"/>
          <w:bCs/>
          <w:i/>
          <w:iCs/>
          <w:sz w:val="24"/>
          <w:szCs w:val="24"/>
          <w:lang w:val="fr-FR"/>
        </w:rPr>
      </w:pPr>
      <w:r w:rsidRPr="0004134A">
        <w:rPr>
          <w:rFonts w:ascii="Times New Roman" w:hAnsi="Times New Roman" w:cs="Times New Roman"/>
          <w:bCs/>
          <w:i/>
          <w:iCs/>
          <w:sz w:val="24"/>
          <w:szCs w:val="24"/>
          <w:lang w:val="fr-FR"/>
        </w:rPr>
        <w:t xml:space="preserve">Rapport des pré-colloques </w:t>
      </w:r>
    </w:p>
    <w:p w14:paraId="73D1D0D3" w14:textId="3B211200" w:rsidR="00317A2A" w:rsidRPr="0004134A" w:rsidRDefault="00317A2A" w:rsidP="00DC1081">
      <w:pPr>
        <w:pStyle w:val="ListParagraph"/>
        <w:spacing w:after="0"/>
        <w:ind w:left="1428"/>
        <w:jc w:val="both"/>
        <w:rPr>
          <w:rFonts w:ascii="Times New Roman" w:hAnsi="Times New Roman" w:cs="Times New Roman"/>
          <w:bCs/>
          <w:i/>
          <w:iCs/>
          <w:sz w:val="24"/>
          <w:szCs w:val="24"/>
          <w:lang w:val="fr-FR"/>
        </w:rPr>
      </w:pPr>
    </w:p>
    <w:p w14:paraId="7EBC505B" w14:textId="5C3915D3" w:rsidR="00CF19D9" w:rsidRPr="0004134A" w:rsidRDefault="00CF19D9" w:rsidP="00CF19D9">
      <w:pPr>
        <w:spacing w:after="0"/>
        <w:ind w:left="708"/>
        <w:jc w:val="both"/>
        <w:rPr>
          <w:rFonts w:ascii="Times New Roman" w:hAnsi="Times New Roman" w:cs="Times New Roman"/>
          <w:bCs/>
          <w:sz w:val="24"/>
          <w:szCs w:val="24"/>
          <w:lang w:val="fr-FR"/>
        </w:rPr>
      </w:pPr>
    </w:p>
    <w:p w14:paraId="71F2B3E6" w14:textId="48C0ED27" w:rsidR="00CF19D9" w:rsidRPr="0004134A" w:rsidRDefault="00CF19D9" w:rsidP="00A0727C">
      <w:pPr>
        <w:spacing w:after="0"/>
        <w:jc w:val="both"/>
        <w:rPr>
          <w:rFonts w:ascii="Times New Roman" w:hAnsi="Times New Roman" w:cs="Times New Roman"/>
          <w:bCs/>
          <w:sz w:val="24"/>
          <w:szCs w:val="24"/>
          <w:lang w:val="fr-FR"/>
        </w:rPr>
      </w:pPr>
    </w:p>
    <w:p w14:paraId="3829BCD9" w14:textId="08CFAAF0" w:rsidR="00CF19D9" w:rsidRPr="0004134A" w:rsidRDefault="00911768" w:rsidP="00C90895">
      <w:pPr>
        <w:spacing w:after="0"/>
        <w:ind w:left="708"/>
        <w:jc w:val="both"/>
        <w:rPr>
          <w:rFonts w:ascii="Times New Roman" w:hAnsi="Times New Roman" w:cs="Times New Roman"/>
          <w:bCs/>
          <w:sz w:val="24"/>
          <w:szCs w:val="24"/>
          <w:lang w:val="fr-FR"/>
        </w:rPr>
      </w:pPr>
      <w:r>
        <w:rPr>
          <w:rFonts w:ascii="Times New Roman" w:hAnsi="Times New Roman" w:cs="Times New Roman"/>
          <w:bCs/>
          <w:sz w:val="24"/>
          <w:szCs w:val="24"/>
          <w:lang w:val="fr-FR"/>
        </w:rPr>
        <w:pict w14:anchorId="0DE67D7E">
          <v:rect id="_x0000_i1026" style="width:0;height:1.5pt" o:hralign="center" o:hrstd="t" o:hr="t" fillcolor="#a0a0a0" stroked="f"/>
        </w:pict>
      </w:r>
    </w:p>
    <w:sectPr w:rsidR="00CF19D9" w:rsidRPr="0004134A" w:rsidSect="00CB2C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EC94" w14:textId="77777777" w:rsidR="000958D3" w:rsidRDefault="000958D3" w:rsidP="00CF19D9">
      <w:pPr>
        <w:spacing w:after="0" w:line="240" w:lineRule="auto"/>
      </w:pPr>
      <w:r>
        <w:separator/>
      </w:r>
    </w:p>
  </w:endnote>
  <w:endnote w:type="continuationSeparator" w:id="0">
    <w:p w14:paraId="62789130" w14:textId="77777777" w:rsidR="000958D3" w:rsidRDefault="000958D3" w:rsidP="00CF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130869"/>
      <w:docPartObj>
        <w:docPartGallery w:val="Page Numbers (Bottom of Page)"/>
        <w:docPartUnique/>
      </w:docPartObj>
    </w:sdtPr>
    <w:sdtEndPr/>
    <w:sdtContent>
      <w:sdt>
        <w:sdtPr>
          <w:id w:val="-1769616900"/>
          <w:docPartObj>
            <w:docPartGallery w:val="Page Numbers (Top of Page)"/>
            <w:docPartUnique/>
          </w:docPartObj>
        </w:sdtPr>
        <w:sdtEndPr/>
        <w:sdtContent>
          <w:p w14:paraId="6480A852" w14:textId="3782096F" w:rsidR="00EF4B59" w:rsidRDefault="00EF4B59">
            <w:pPr>
              <w:pStyle w:val="Footer"/>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33E42BAC" w14:textId="77777777" w:rsidR="00CF19D9" w:rsidRDefault="00CF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1A74" w14:textId="77777777" w:rsidR="000958D3" w:rsidRDefault="000958D3" w:rsidP="00CF19D9">
      <w:pPr>
        <w:spacing w:after="0" w:line="240" w:lineRule="auto"/>
      </w:pPr>
      <w:r>
        <w:separator/>
      </w:r>
    </w:p>
  </w:footnote>
  <w:footnote w:type="continuationSeparator" w:id="0">
    <w:p w14:paraId="3572917C" w14:textId="77777777" w:rsidR="000958D3" w:rsidRDefault="000958D3" w:rsidP="00CF19D9">
      <w:pPr>
        <w:spacing w:after="0" w:line="240" w:lineRule="auto"/>
      </w:pPr>
      <w:r>
        <w:continuationSeparator/>
      </w:r>
    </w:p>
  </w:footnote>
  <w:footnote w:id="1">
    <w:p w14:paraId="06A3F19D" w14:textId="77777777" w:rsidR="00552960" w:rsidRPr="00024DCD" w:rsidRDefault="00552960">
      <w:pPr>
        <w:pStyle w:val="FootnoteText"/>
        <w:ind w:left="284" w:hanging="284"/>
        <w:rPr>
          <w:lang w:val="fr-FR"/>
        </w:rPr>
      </w:pPr>
      <w:r>
        <w:rPr>
          <w:rStyle w:val="FootnoteReference"/>
        </w:rPr>
        <w:footnoteRef/>
      </w:r>
      <w:r w:rsidRPr="00024DCD">
        <w:rPr>
          <w:lang w:val="fr-FR"/>
        </w:rPr>
        <w:t xml:space="preserve">  Le principal partenaire local, BLTP, excelle dans l'organisation, la mobilisation et la formation, mais la présence de la NIMD est nécessaire pour accroître l'efficacité du travail politique, en élaborant des stratégies avec les acteurs politiques et en conseillant ces derniers sur l'élargissement de leurs connaissances et de leurs compétences thématiques.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5A8"/>
      </v:shape>
    </w:pict>
  </w:numPicBullet>
  <w:abstractNum w:abstractNumId="0" w15:restartNumberingAfterBreak="0">
    <w:nsid w:val="00033478"/>
    <w:multiLevelType w:val="multilevel"/>
    <w:tmpl w:val="14CA110C"/>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4A2D36"/>
    <w:multiLevelType w:val="hybridMultilevel"/>
    <w:tmpl w:val="76D2D42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826CD1"/>
    <w:multiLevelType w:val="hybridMultilevel"/>
    <w:tmpl w:val="DDE2AA3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8D2470"/>
    <w:multiLevelType w:val="hybridMultilevel"/>
    <w:tmpl w:val="9D88FCB6"/>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71B77"/>
    <w:multiLevelType w:val="hybridMultilevel"/>
    <w:tmpl w:val="A58429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272B77"/>
    <w:multiLevelType w:val="hybridMultilevel"/>
    <w:tmpl w:val="6C9634A8"/>
    <w:lvl w:ilvl="0" w:tplc="FEF0F27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D590B"/>
    <w:multiLevelType w:val="hybridMultilevel"/>
    <w:tmpl w:val="DB40A24A"/>
    <w:lvl w:ilvl="0" w:tplc="BE265706">
      <w:start w:val="1"/>
      <w:numFmt w:val="lowerLetter"/>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1112116C"/>
    <w:multiLevelType w:val="hybridMultilevel"/>
    <w:tmpl w:val="41EA344E"/>
    <w:lvl w:ilvl="0" w:tplc="080C0007">
      <w:start w:val="1"/>
      <w:numFmt w:val="bullet"/>
      <w:lvlText w:val=""/>
      <w:lvlPicBulletId w:val="0"/>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168A6737"/>
    <w:multiLevelType w:val="hybridMultilevel"/>
    <w:tmpl w:val="86307008"/>
    <w:lvl w:ilvl="0" w:tplc="2000000D">
      <w:start w:val="1"/>
      <w:numFmt w:val="bullet"/>
      <w:lvlText w:val=""/>
      <w:lvlJc w:val="left"/>
      <w:pPr>
        <w:ind w:left="1068" w:hanging="360"/>
      </w:pPr>
      <w:rPr>
        <w:rFonts w:ascii="Wingdings" w:hAnsi="Wingdings"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9" w15:restartNumberingAfterBreak="0">
    <w:nsid w:val="196D1E59"/>
    <w:multiLevelType w:val="hybridMultilevel"/>
    <w:tmpl w:val="5288A5D0"/>
    <w:lvl w:ilvl="0" w:tplc="BB5660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2B0975"/>
    <w:multiLevelType w:val="hybridMultilevel"/>
    <w:tmpl w:val="0BFE53F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67226D"/>
    <w:multiLevelType w:val="hybridMultilevel"/>
    <w:tmpl w:val="EAA4508A"/>
    <w:lvl w:ilvl="0" w:tplc="FEF0F278">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E6F4B9B"/>
    <w:multiLevelType w:val="hybridMultilevel"/>
    <w:tmpl w:val="5CE6395C"/>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1C2490B"/>
    <w:multiLevelType w:val="hybridMultilevel"/>
    <w:tmpl w:val="E98062A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4910352"/>
    <w:multiLevelType w:val="hybridMultilevel"/>
    <w:tmpl w:val="76589D4E"/>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0F6602"/>
    <w:multiLevelType w:val="hybridMultilevel"/>
    <w:tmpl w:val="5754BF9A"/>
    <w:lvl w:ilvl="0" w:tplc="2000000F">
      <w:start w:val="1"/>
      <w:numFmt w:val="decimal"/>
      <w:lvlText w:val="%1."/>
      <w:lvlJc w:val="left"/>
      <w:pPr>
        <w:ind w:left="2200" w:hanging="360"/>
      </w:pPr>
      <w:rPr>
        <w:rFonts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6" w15:restartNumberingAfterBreak="0">
    <w:nsid w:val="27CC72FA"/>
    <w:multiLevelType w:val="multilevel"/>
    <w:tmpl w:val="5B96FBBA"/>
    <w:lvl w:ilvl="0">
      <w:start w:val="3"/>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29791D"/>
    <w:multiLevelType w:val="hybridMultilevel"/>
    <w:tmpl w:val="61AC93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B5C1234"/>
    <w:multiLevelType w:val="multilevel"/>
    <w:tmpl w:val="1ED894E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F84978"/>
    <w:multiLevelType w:val="hybridMultilevel"/>
    <w:tmpl w:val="43187244"/>
    <w:lvl w:ilvl="0" w:tplc="0754A67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2B1654B"/>
    <w:multiLevelType w:val="hybridMultilevel"/>
    <w:tmpl w:val="B3181842"/>
    <w:lvl w:ilvl="0" w:tplc="FE489EF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35BB121D"/>
    <w:multiLevelType w:val="hybridMultilevel"/>
    <w:tmpl w:val="DED8B396"/>
    <w:lvl w:ilvl="0" w:tplc="200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60356EF"/>
    <w:multiLevelType w:val="hybridMultilevel"/>
    <w:tmpl w:val="991665A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3D46573E"/>
    <w:multiLevelType w:val="hybridMultilevel"/>
    <w:tmpl w:val="C3345F36"/>
    <w:lvl w:ilvl="0" w:tplc="080C0007">
      <w:start w:val="1"/>
      <w:numFmt w:val="bullet"/>
      <w:lvlText w:val=""/>
      <w:lvlPicBulletId w:val="0"/>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3DA35EA7"/>
    <w:multiLevelType w:val="hybridMultilevel"/>
    <w:tmpl w:val="5170B8AE"/>
    <w:lvl w:ilvl="0" w:tplc="2000000D">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3E335C92"/>
    <w:multiLevelType w:val="hybridMultilevel"/>
    <w:tmpl w:val="9DB81EDC"/>
    <w:lvl w:ilvl="0" w:tplc="9EDE1C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43502859"/>
    <w:multiLevelType w:val="multilevel"/>
    <w:tmpl w:val="34BA1DC6"/>
    <w:lvl w:ilvl="0">
      <w:start w:val="3"/>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43D17105"/>
    <w:multiLevelType w:val="hybridMultilevel"/>
    <w:tmpl w:val="9DB81EDC"/>
    <w:lvl w:ilvl="0" w:tplc="9EDE1C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45330674"/>
    <w:multiLevelType w:val="hybridMultilevel"/>
    <w:tmpl w:val="1CE627F8"/>
    <w:lvl w:ilvl="0" w:tplc="21040B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929689E"/>
    <w:multiLevelType w:val="hybridMultilevel"/>
    <w:tmpl w:val="883E486E"/>
    <w:lvl w:ilvl="0" w:tplc="5F6E9BF0">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9987D6D"/>
    <w:multiLevelType w:val="hybridMultilevel"/>
    <w:tmpl w:val="95F67A04"/>
    <w:lvl w:ilvl="0" w:tplc="2000000D">
      <w:start w:val="1"/>
      <w:numFmt w:val="bullet"/>
      <w:lvlText w:val=""/>
      <w:lvlJc w:val="left"/>
      <w:pPr>
        <w:ind w:left="900" w:hanging="360"/>
      </w:pPr>
      <w:rPr>
        <w:rFonts w:ascii="Wingdings" w:hAnsi="Wingdings"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1" w15:restartNumberingAfterBreak="0">
    <w:nsid w:val="54F16EAE"/>
    <w:multiLevelType w:val="multilevel"/>
    <w:tmpl w:val="2F1819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05331F"/>
    <w:multiLevelType w:val="hybridMultilevel"/>
    <w:tmpl w:val="33C45EB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F963F6F"/>
    <w:multiLevelType w:val="hybridMultilevel"/>
    <w:tmpl w:val="AF20E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5D67F32"/>
    <w:multiLevelType w:val="hybridMultilevel"/>
    <w:tmpl w:val="2C5AF11C"/>
    <w:lvl w:ilvl="0" w:tplc="376C7A7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7976A62"/>
    <w:multiLevelType w:val="hybridMultilevel"/>
    <w:tmpl w:val="2DFEC588"/>
    <w:lvl w:ilvl="0" w:tplc="2000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AAC0619"/>
    <w:multiLevelType w:val="hybridMultilevel"/>
    <w:tmpl w:val="46B6395A"/>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6B94519C"/>
    <w:multiLevelType w:val="multilevel"/>
    <w:tmpl w:val="20E2E63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287F37"/>
    <w:multiLevelType w:val="hybridMultilevel"/>
    <w:tmpl w:val="616E1BEC"/>
    <w:lvl w:ilvl="0" w:tplc="FEF0F278">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D017F09"/>
    <w:multiLevelType w:val="hybridMultilevel"/>
    <w:tmpl w:val="39C8107A"/>
    <w:lvl w:ilvl="0" w:tplc="2000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3792884"/>
    <w:multiLevelType w:val="multilevel"/>
    <w:tmpl w:val="24FA122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81653D"/>
    <w:multiLevelType w:val="hybridMultilevel"/>
    <w:tmpl w:val="5776D4E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3D22050"/>
    <w:multiLevelType w:val="hybridMultilevel"/>
    <w:tmpl w:val="82DC9952"/>
    <w:lvl w:ilvl="0" w:tplc="46B4C3F0">
      <w:start w:val="1"/>
      <w:numFmt w:val="lowerLetter"/>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6B41ACF"/>
    <w:multiLevelType w:val="hybridMultilevel"/>
    <w:tmpl w:val="7EC48352"/>
    <w:lvl w:ilvl="0" w:tplc="2000001B">
      <w:start w:val="1"/>
      <w:numFmt w:val="lowerRoman"/>
      <w:lvlText w:val="%1."/>
      <w:lvlJc w:val="righ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4" w15:restartNumberingAfterBreak="0">
    <w:nsid w:val="78E70187"/>
    <w:multiLevelType w:val="hybridMultilevel"/>
    <w:tmpl w:val="B78269F8"/>
    <w:lvl w:ilvl="0" w:tplc="F894D65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15:restartNumberingAfterBreak="0">
    <w:nsid w:val="7A554ED9"/>
    <w:multiLevelType w:val="multilevel"/>
    <w:tmpl w:val="484C19E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0C308D"/>
    <w:multiLevelType w:val="hybridMultilevel"/>
    <w:tmpl w:val="B72CAC74"/>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7" w15:restartNumberingAfterBreak="0">
    <w:nsid w:val="7E8923CA"/>
    <w:multiLevelType w:val="hybridMultilevel"/>
    <w:tmpl w:val="AC4A2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7481515">
    <w:abstractNumId w:val="27"/>
  </w:num>
  <w:num w:numId="2" w16cid:durableId="670373765">
    <w:abstractNumId w:val="25"/>
  </w:num>
  <w:num w:numId="3" w16cid:durableId="844512737">
    <w:abstractNumId w:val="31"/>
  </w:num>
  <w:num w:numId="4" w16cid:durableId="617880134">
    <w:abstractNumId w:val="17"/>
  </w:num>
  <w:num w:numId="5" w16cid:durableId="721709196">
    <w:abstractNumId w:val="2"/>
  </w:num>
  <w:num w:numId="6" w16cid:durableId="1106148016">
    <w:abstractNumId w:val="1"/>
  </w:num>
  <w:num w:numId="7" w16cid:durableId="1242181873">
    <w:abstractNumId w:val="23"/>
  </w:num>
  <w:num w:numId="8" w16cid:durableId="793987945">
    <w:abstractNumId w:val="7"/>
  </w:num>
  <w:num w:numId="9" w16cid:durableId="1423916838">
    <w:abstractNumId w:val="32"/>
  </w:num>
  <w:num w:numId="10" w16cid:durableId="1154177103">
    <w:abstractNumId w:val="29"/>
  </w:num>
  <w:num w:numId="11" w16cid:durableId="1407798499">
    <w:abstractNumId w:val="4"/>
  </w:num>
  <w:num w:numId="12" w16cid:durableId="492917120">
    <w:abstractNumId w:val="21"/>
  </w:num>
  <w:num w:numId="13" w16cid:durableId="889875821">
    <w:abstractNumId w:val="41"/>
  </w:num>
  <w:num w:numId="14" w16cid:durableId="765418469">
    <w:abstractNumId w:val="9"/>
  </w:num>
  <w:num w:numId="15" w16cid:durableId="482432200">
    <w:abstractNumId w:val="30"/>
  </w:num>
  <w:num w:numId="16" w16cid:durableId="1436363522">
    <w:abstractNumId w:val="5"/>
  </w:num>
  <w:num w:numId="17" w16cid:durableId="428888477">
    <w:abstractNumId w:val="11"/>
  </w:num>
  <w:num w:numId="18" w16cid:durableId="1269971188">
    <w:abstractNumId w:val="38"/>
  </w:num>
  <w:num w:numId="19" w16cid:durableId="1489397834">
    <w:abstractNumId w:val="13"/>
  </w:num>
  <w:num w:numId="20" w16cid:durableId="1224216870">
    <w:abstractNumId w:val="34"/>
  </w:num>
  <w:num w:numId="21" w16cid:durableId="1568490617">
    <w:abstractNumId w:val="39"/>
  </w:num>
  <w:num w:numId="22" w16cid:durableId="1381441761">
    <w:abstractNumId w:val="28"/>
  </w:num>
  <w:num w:numId="23" w16cid:durableId="762654552">
    <w:abstractNumId w:val="19"/>
  </w:num>
  <w:num w:numId="24" w16cid:durableId="1862890938">
    <w:abstractNumId w:val="42"/>
  </w:num>
  <w:num w:numId="25" w16cid:durableId="1619526639">
    <w:abstractNumId w:val="10"/>
  </w:num>
  <w:num w:numId="26" w16cid:durableId="543953112">
    <w:abstractNumId w:val="3"/>
  </w:num>
  <w:num w:numId="27" w16cid:durableId="292291231">
    <w:abstractNumId w:val="14"/>
  </w:num>
  <w:num w:numId="28" w16cid:durableId="1665861198">
    <w:abstractNumId w:val="8"/>
  </w:num>
  <w:num w:numId="29" w16cid:durableId="96295325">
    <w:abstractNumId w:val="35"/>
  </w:num>
  <w:num w:numId="30" w16cid:durableId="79764686">
    <w:abstractNumId w:val="22"/>
  </w:num>
  <w:num w:numId="31" w16cid:durableId="921371433">
    <w:abstractNumId w:val="46"/>
  </w:num>
  <w:num w:numId="32" w16cid:durableId="334306462">
    <w:abstractNumId w:val="12"/>
  </w:num>
  <w:num w:numId="33" w16cid:durableId="1506743207">
    <w:abstractNumId w:val="36"/>
  </w:num>
  <w:num w:numId="34" w16cid:durableId="1516772296">
    <w:abstractNumId w:val="43"/>
  </w:num>
  <w:num w:numId="35" w16cid:durableId="1429542759">
    <w:abstractNumId w:val="20"/>
  </w:num>
  <w:num w:numId="36" w16cid:durableId="658652603">
    <w:abstractNumId w:val="44"/>
  </w:num>
  <w:num w:numId="37" w16cid:durableId="1328366338">
    <w:abstractNumId w:val="6"/>
  </w:num>
  <w:num w:numId="38" w16cid:durableId="1699358376">
    <w:abstractNumId w:val="45"/>
  </w:num>
  <w:num w:numId="39" w16cid:durableId="635599205">
    <w:abstractNumId w:val="0"/>
  </w:num>
  <w:num w:numId="40" w16cid:durableId="1567255480">
    <w:abstractNumId w:val="16"/>
  </w:num>
  <w:num w:numId="41" w16cid:durableId="1097753555">
    <w:abstractNumId w:val="18"/>
  </w:num>
  <w:num w:numId="42" w16cid:durableId="1333795559">
    <w:abstractNumId w:val="40"/>
  </w:num>
  <w:num w:numId="43" w16cid:durableId="1523475680">
    <w:abstractNumId w:val="26"/>
  </w:num>
  <w:num w:numId="44" w16cid:durableId="1306356643">
    <w:abstractNumId w:val="47"/>
  </w:num>
  <w:num w:numId="45" w16cid:durableId="1293364822">
    <w:abstractNumId w:val="33"/>
  </w:num>
  <w:num w:numId="46" w16cid:durableId="1679503677">
    <w:abstractNumId w:val="24"/>
  </w:num>
  <w:num w:numId="47" w16cid:durableId="326592562">
    <w:abstractNumId w:val="37"/>
  </w:num>
  <w:num w:numId="48" w16cid:durableId="11132843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BA"/>
    <w:rsid w:val="00022FA2"/>
    <w:rsid w:val="0002328E"/>
    <w:rsid w:val="00035673"/>
    <w:rsid w:val="00035F44"/>
    <w:rsid w:val="00040F97"/>
    <w:rsid w:val="0004134A"/>
    <w:rsid w:val="00042A16"/>
    <w:rsid w:val="00056359"/>
    <w:rsid w:val="000578A9"/>
    <w:rsid w:val="0006133F"/>
    <w:rsid w:val="00064730"/>
    <w:rsid w:val="000715F4"/>
    <w:rsid w:val="000734EF"/>
    <w:rsid w:val="00091A09"/>
    <w:rsid w:val="00091EE7"/>
    <w:rsid w:val="000958D3"/>
    <w:rsid w:val="000A0475"/>
    <w:rsid w:val="000A3DC8"/>
    <w:rsid w:val="000A4A2F"/>
    <w:rsid w:val="000B02AD"/>
    <w:rsid w:val="000B0CE8"/>
    <w:rsid w:val="000B25C5"/>
    <w:rsid w:val="000B4DAC"/>
    <w:rsid w:val="000B7444"/>
    <w:rsid w:val="000C7BB5"/>
    <w:rsid w:val="00103BCE"/>
    <w:rsid w:val="00112C44"/>
    <w:rsid w:val="00116D1C"/>
    <w:rsid w:val="00121978"/>
    <w:rsid w:val="00125599"/>
    <w:rsid w:val="00126389"/>
    <w:rsid w:val="001318D6"/>
    <w:rsid w:val="0013339D"/>
    <w:rsid w:val="001340D3"/>
    <w:rsid w:val="00142F26"/>
    <w:rsid w:val="00153FF1"/>
    <w:rsid w:val="00154607"/>
    <w:rsid w:val="001563AD"/>
    <w:rsid w:val="00164A32"/>
    <w:rsid w:val="001663F5"/>
    <w:rsid w:val="00166BE1"/>
    <w:rsid w:val="00182D2F"/>
    <w:rsid w:val="001849B3"/>
    <w:rsid w:val="00190922"/>
    <w:rsid w:val="00191C31"/>
    <w:rsid w:val="00191CC3"/>
    <w:rsid w:val="001953AB"/>
    <w:rsid w:val="00195F19"/>
    <w:rsid w:val="00197444"/>
    <w:rsid w:val="00197C2F"/>
    <w:rsid w:val="001B28BF"/>
    <w:rsid w:val="001E1B78"/>
    <w:rsid w:val="001E3A3A"/>
    <w:rsid w:val="001F5B5F"/>
    <w:rsid w:val="00201BDD"/>
    <w:rsid w:val="002043FB"/>
    <w:rsid w:val="002223BA"/>
    <w:rsid w:val="00224A26"/>
    <w:rsid w:val="002513CB"/>
    <w:rsid w:val="0025180B"/>
    <w:rsid w:val="00254BEC"/>
    <w:rsid w:val="0025539A"/>
    <w:rsid w:val="00272C1C"/>
    <w:rsid w:val="00277EC8"/>
    <w:rsid w:val="00281666"/>
    <w:rsid w:val="002A62E2"/>
    <w:rsid w:val="002A74C5"/>
    <w:rsid w:val="002B5815"/>
    <w:rsid w:val="002B7484"/>
    <w:rsid w:val="002D23E9"/>
    <w:rsid w:val="002E2F5B"/>
    <w:rsid w:val="002F5D67"/>
    <w:rsid w:val="002F733C"/>
    <w:rsid w:val="00302795"/>
    <w:rsid w:val="003046E6"/>
    <w:rsid w:val="00305A90"/>
    <w:rsid w:val="00317A2A"/>
    <w:rsid w:val="00321AF5"/>
    <w:rsid w:val="00321B7B"/>
    <w:rsid w:val="00345E37"/>
    <w:rsid w:val="00347EA9"/>
    <w:rsid w:val="00357AAF"/>
    <w:rsid w:val="003609E3"/>
    <w:rsid w:val="00361D5E"/>
    <w:rsid w:val="00371C58"/>
    <w:rsid w:val="00376176"/>
    <w:rsid w:val="00377457"/>
    <w:rsid w:val="003870DD"/>
    <w:rsid w:val="0039243A"/>
    <w:rsid w:val="003A6CB8"/>
    <w:rsid w:val="003B5627"/>
    <w:rsid w:val="003C1100"/>
    <w:rsid w:val="003C1830"/>
    <w:rsid w:val="003C7483"/>
    <w:rsid w:val="003D0BB6"/>
    <w:rsid w:val="003E35BF"/>
    <w:rsid w:val="003F16F9"/>
    <w:rsid w:val="003F3F06"/>
    <w:rsid w:val="003F7E23"/>
    <w:rsid w:val="00413760"/>
    <w:rsid w:val="0042225D"/>
    <w:rsid w:val="0043311C"/>
    <w:rsid w:val="00436B16"/>
    <w:rsid w:val="00466EE3"/>
    <w:rsid w:val="00471DC8"/>
    <w:rsid w:val="004769B7"/>
    <w:rsid w:val="00476F1C"/>
    <w:rsid w:val="0047756E"/>
    <w:rsid w:val="004857FB"/>
    <w:rsid w:val="00491113"/>
    <w:rsid w:val="00494E29"/>
    <w:rsid w:val="00497CF9"/>
    <w:rsid w:val="004B63E9"/>
    <w:rsid w:val="004B76AB"/>
    <w:rsid w:val="004C1DFA"/>
    <w:rsid w:val="004C2527"/>
    <w:rsid w:val="004C664B"/>
    <w:rsid w:val="004C6DAE"/>
    <w:rsid w:val="004E2B08"/>
    <w:rsid w:val="00505097"/>
    <w:rsid w:val="0051173F"/>
    <w:rsid w:val="005126BA"/>
    <w:rsid w:val="00512D98"/>
    <w:rsid w:val="00525CFF"/>
    <w:rsid w:val="005305DC"/>
    <w:rsid w:val="0053206F"/>
    <w:rsid w:val="0053298D"/>
    <w:rsid w:val="00533947"/>
    <w:rsid w:val="005414D0"/>
    <w:rsid w:val="00552960"/>
    <w:rsid w:val="0056111D"/>
    <w:rsid w:val="005805FA"/>
    <w:rsid w:val="00584E1A"/>
    <w:rsid w:val="00596BF1"/>
    <w:rsid w:val="005C28A4"/>
    <w:rsid w:val="005C373B"/>
    <w:rsid w:val="005C3BA7"/>
    <w:rsid w:val="005C4AFA"/>
    <w:rsid w:val="005E0D8E"/>
    <w:rsid w:val="005E4A32"/>
    <w:rsid w:val="005F0527"/>
    <w:rsid w:val="005F0D52"/>
    <w:rsid w:val="00600676"/>
    <w:rsid w:val="00600C87"/>
    <w:rsid w:val="00602A9A"/>
    <w:rsid w:val="00602D04"/>
    <w:rsid w:val="00602D52"/>
    <w:rsid w:val="006144F3"/>
    <w:rsid w:val="00630A9A"/>
    <w:rsid w:val="006433A4"/>
    <w:rsid w:val="00650AF1"/>
    <w:rsid w:val="00660F55"/>
    <w:rsid w:val="00661D9A"/>
    <w:rsid w:val="006648AC"/>
    <w:rsid w:val="00674639"/>
    <w:rsid w:val="00677F48"/>
    <w:rsid w:val="0068495D"/>
    <w:rsid w:val="006A0C9E"/>
    <w:rsid w:val="006B7CAD"/>
    <w:rsid w:val="006C3A73"/>
    <w:rsid w:val="006C61E6"/>
    <w:rsid w:val="006D268D"/>
    <w:rsid w:val="006E712B"/>
    <w:rsid w:val="006F0463"/>
    <w:rsid w:val="00710DE3"/>
    <w:rsid w:val="00717BA6"/>
    <w:rsid w:val="00724ADD"/>
    <w:rsid w:val="00731842"/>
    <w:rsid w:val="00737281"/>
    <w:rsid w:val="00745D3D"/>
    <w:rsid w:val="00756BDF"/>
    <w:rsid w:val="00770E41"/>
    <w:rsid w:val="00771EE3"/>
    <w:rsid w:val="007749B1"/>
    <w:rsid w:val="007813D4"/>
    <w:rsid w:val="00785525"/>
    <w:rsid w:val="0078660E"/>
    <w:rsid w:val="00790484"/>
    <w:rsid w:val="00792C33"/>
    <w:rsid w:val="007A22FD"/>
    <w:rsid w:val="007A3170"/>
    <w:rsid w:val="007B04CC"/>
    <w:rsid w:val="007C2F3D"/>
    <w:rsid w:val="007D1F11"/>
    <w:rsid w:val="007D2652"/>
    <w:rsid w:val="007E2685"/>
    <w:rsid w:val="007E578D"/>
    <w:rsid w:val="007E7ACB"/>
    <w:rsid w:val="007F71AA"/>
    <w:rsid w:val="00803B5B"/>
    <w:rsid w:val="00811A1B"/>
    <w:rsid w:val="00811AF4"/>
    <w:rsid w:val="00813467"/>
    <w:rsid w:val="00817B06"/>
    <w:rsid w:val="00820625"/>
    <w:rsid w:val="00832DB9"/>
    <w:rsid w:val="0083301A"/>
    <w:rsid w:val="00835545"/>
    <w:rsid w:val="008413E2"/>
    <w:rsid w:val="00841745"/>
    <w:rsid w:val="00842AFA"/>
    <w:rsid w:val="00866434"/>
    <w:rsid w:val="00877BC8"/>
    <w:rsid w:val="0088599C"/>
    <w:rsid w:val="00890A71"/>
    <w:rsid w:val="00893468"/>
    <w:rsid w:val="008A20CD"/>
    <w:rsid w:val="008B23FD"/>
    <w:rsid w:val="008B6FC6"/>
    <w:rsid w:val="008C1B98"/>
    <w:rsid w:val="008D6BDF"/>
    <w:rsid w:val="008D7D45"/>
    <w:rsid w:val="008D7DB1"/>
    <w:rsid w:val="008F299E"/>
    <w:rsid w:val="008F7891"/>
    <w:rsid w:val="00904647"/>
    <w:rsid w:val="00907C9B"/>
    <w:rsid w:val="00911768"/>
    <w:rsid w:val="009140FB"/>
    <w:rsid w:val="00915F12"/>
    <w:rsid w:val="00921B43"/>
    <w:rsid w:val="00922C59"/>
    <w:rsid w:val="009233F4"/>
    <w:rsid w:val="00927ACB"/>
    <w:rsid w:val="009320C9"/>
    <w:rsid w:val="00943060"/>
    <w:rsid w:val="00943A8A"/>
    <w:rsid w:val="009457CE"/>
    <w:rsid w:val="00950A58"/>
    <w:rsid w:val="00950F18"/>
    <w:rsid w:val="00952706"/>
    <w:rsid w:val="00956626"/>
    <w:rsid w:val="00963350"/>
    <w:rsid w:val="00965FE5"/>
    <w:rsid w:val="00966B2A"/>
    <w:rsid w:val="009725F4"/>
    <w:rsid w:val="0097691A"/>
    <w:rsid w:val="0099071A"/>
    <w:rsid w:val="00994ECA"/>
    <w:rsid w:val="009B189A"/>
    <w:rsid w:val="009D0C1B"/>
    <w:rsid w:val="009D10EE"/>
    <w:rsid w:val="009D2C3B"/>
    <w:rsid w:val="009D42DB"/>
    <w:rsid w:val="009D46C0"/>
    <w:rsid w:val="009E5116"/>
    <w:rsid w:val="009F1473"/>
    <w:rsid w:val="00A0727C"/>
    <w:rsid w:val="00A26295"/>
    <w:rsid w:val="00A3274A"/>
    <w:rsid w:val="00A37325"/>
    <w:rsid w:val="00A4092B"/>
    <w:rsid w:val="00A426CE"/>
    <w:rsid w:val="00A50B44"/>
    <w:rsid w:val="00A605CB"/>
    <w:rsid w:val="00A67EA3"/>
    <w:rsid w:val="00A82662"/>
    <w:rsid w:val="00A854EB"/>
    <w:rsid w:val="00A85758"/>
    <w:rsid w:val="00A86C91"/>
    <w:rsid w:val="00A923AA"/>
    <w:rsid w:val="00A959FF"/>
    <w:rsid w:val="00A96011"/>
    <w:rsid w:val="00AA0C6C"/>
    <w:rsid w:val="00AB3B95"/>
    <w:rsid w:val="00AB4A02"/>
    <w:rsid w:val="00AB4BFF"/>
    <w:rsid w:val="00AC2EFB"/>
    <w:rsid w:val="00AC3DCD"/>
    <w:rsid w:val="00AC65C9"/>
    <w:rsid w:val="00AD16E2"/>
    <w:rsid w:val="00AE74A8"/>
    <w:rsid w:val="00AF46D5"/>
    <w:rsid w:val="00AF4D19"/>
    <w:rsid w:val="00B01504"/>
    <w:rsid w:val="00B26356"/>
    <w:rsid w:val="00B30D2E"/>
    <w:rsid w:val="00B44213"/>
    <w:rsid w:val="00B446F7"/>
    <w:rsid w:val="00B46E4C"/>
    <w:rsid w:val="00B54612"/>
    <w:rsid w:val="00B62F90"/>
    <w:rsid w:val="00B70DA9"/>
    <w:rsid w:val="00B74314"/>
    <w:rsid w:val="00B879B2"/>
    <w:rsid w:val="00BB48E7"/>
    <w:rsid w:val="00BE39B5"/>
    <w:rsid w:val="00C068A5"/>
    <w:rsid w:val="00C13A3F"/>
    <w:rsid w:val="00C22CDC"/>
    <w:rsid w:val="00C43294"/>
    <w:rsid w:val="00C44A01"/>
    <w:rsid w:val="00C450C7"/>
    <w:rsid w:val="00C4510B"/>
    <w:rsid w:val="00C57C2D"/>
    <w:rsid w:val="00C6026F"/>
    <w:rsid w:val="00C76B44"/>
    <w:rsid w:val="00C8609B"/>
    <w:rsid w:val="00C90895"/>
    <w:rsid w:val="00CA4C20"/>
    <w:rsid w:val="00CB2CD8"/>
    <w:rsid w:val="00CC10A8"/>
    <w:rsid w:val="00CC1B00"/>
    <w:rsid w:val="00CC29CC"/>
    <w:rsid w:val="00CD1940"/>
    <w:rsid w:val="00CD306E"/>
    <w:rsid w:val="00CE2444"/>
    <w:rsid w:val="00CF19D9"/>
    <w:rsid w:val="00CF6F23"/>
    <w:rsid w:val="00D00028"/>
    <w:rsid w:val="00D028B8"/>
    <w:rsid w:val="00D075B9"/>
    <w:rsid w:val="00D12C69"/>
    <w:rsid w:val="00D13382"/>
    <w:rsid w:val="00D23161"/>
    <w:rsid w:val="00D272B9"/>
    <w:rsid w:val="00D30BD0"/>
    <w:rsid w:val="00D32A98"/>
    <w:rsid w:val="00D33972"/>
    <w:rsid w:val="00D402C7"/>
    <w:rsid w:val="00D4066E"/>
    <w:rsid w:val="00D51C7D"/>
    <w:rsid w:val="00D53074"/>
    <w:rsid w:val="00D540AF"/>
    <w:rsid w:val="00D64210"/>
    <w:rsid w:val="00D662C2"/>
    <w:rsid w:val="00D72755"/>
    <w:rsid w:val="00D75D81"/>
    <w:rsid w:val="00D92598"/>
    <w:rsid w:val="00D92690"/>
    <w:rsid w:val="00D93120"/>
    <w:rsid w:val="00D969E7"/>
    <w:rsid w:val="00DA16D5"/>
    <w:rsid w:val="00DB1523"/>
    <w:rsid w:val="00DB5185"/>
    <w:rsid w:val="00DB79AF"/>
    <w:rsid w:val="00DC1081"/>
    <w:rsid w:val="00DD043E"/>
    <w:rsid w:val="00DD4AE6"/>
    <w:rsid w:val="00DE1B54"/>
    <w:rsid w:val="00DE228F"/>
    <w:rsid w:val="00DE24AA"/>
    <w:rsid w:val="00DE2D0A"/>
    <w:rsid w:val="00DE4DBC"/>
    <w:rsid w:val="00DF3F7D"/>
    <w:rsid w:val="00DF580F"/>
    <w:rsid w:val="00E17887"/>
    <w:rsid w:val="00E217C7"/>
    <w:rsid w:val="00E42111"/>
    <w:rsid w:val="00E42A64"/>
    <w:rsid w:val="00E70C90"/>
    <w:rsid w:val="00E76228"/>
    <w:rsid w:val="00E77E3A"/>
    <w:rsid w:val="00E876FB"/>
    <w:rsid w:val="00E938DC"/>
    <w:rsid w:val="00EA2EA2"/>
    <w:rsid w:val="00EA438B"/>
    <w:rsid w:val="00EA44DF"/>
    <w:rsid w:val="00EE1BB2"/>
    <w:rsid w:val="00EE65DD"/>
    <w:rsid w:val="00EF4B59"/>
    <w:rsid w:val="00EF5BD0"/>
    <w:rsid w:val="00EF75E6"/>
    <w:rsid w:val="00EF7727"/>
    <w:rsid w:val="00F10B12"/>
    <w:rsid w:val="00F10D5E"/>
    <w:rsid w:val="00F112E4"/>
    <w:rsid w:val="00F22666"/>
    <w:rsid w:val="00F24F53"/>
    <w:rsid w:val="00F5130B"/>
    <w:rsid w:val="00F60BAB"/>
    <w:rsid w:val="00F62ECE"/>
    <w:rsid w:val="00F7133E"/>
    <w:rsid w:val="00F74696"/>
    <w:rsid w:val="00F753B3"/>
    <w:rsid w:val="00F828C2"/>
    <w:rsid w:val="00F95786"/>
    <w:rsid w:val="00FA2AC8"/>
    <w:rsid w:val="00FA5CB6"/>
    <w:rsid w:val="00FB557B"/>
    <w:rsid w:val="00FC136B"/>
    <w:rsid w:val="00FD4A31"/>
    <w:rsid w:val="00FE4F4C"/>
    <w:rsid w:val="00FE5808"/>
    <w:rsid w:val="00FE62BD"/>
    <w:rsid w:val="00FE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839AE49"/>
  <w15:chartTrackingRefBased/>
  <w15:docId w15:val="{5315D405-ACED-4A23-8AA7-E740FBC4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E7"/>
    <w:pPr>
      <w:spacing w:after="200" w:line="276" w:lineRule="auto"/>
    </w:pPr>
    <w:rPr>
      <w:lang w:val="en-US"/>
    </w:rPr>
  </w:style>
  <w:style w:type="paragraph" w:styleId="Heading1">
    <w:name w:val="heading 1"/>
    <w:basedOn w:val="Normal"/>
    <w:next w:val="Normal"/>
    <w:link w:val="Heading1Char"/>
    <w:uiPriority w:val="9"/>
    <w:qFormat/>
    <w:rsid w:val="00661D9A"/>
    <w:pPr>
      <w:keepNext/>
      <w:keepLines/>
      <w:spacing w:before="240" w:after="0" w:line="259" w:lineRule="auto"/>
      <w:outlineLvl w:val="0"/>
    </w:pPr>
    <w:rPr>
      <w:rFonts w:eastAsiaTheme="majorEastAsia" w:cstheme="majorBidi"/>
      <w:b/>
      <w:color w:val="ED7D31" w:themeColor="accent2"/>
      <w:sz w:val="24"/>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69E7"/>
    <w:pPr>
      <w:ind w:left="720"/>
      <w:contextualSpacing/>
    </w:pPr>
  </w:style>
  <w:style w:type="paragraph" w:styleId="NoSpacing">
    <w:name w:val="No Spacing"/>
    <w:link w:val="NoSpacingChar"/>
    <w:uiPriority w:val="1"/>
    <w:qFormat/>
    <w:rsid w:val="001663F5"/>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965FE5"/>
    <w:rPr>
      <w:rFonts w:eastAsiaTheme="minorEastAsia"/>
      <w:sz w:val="21"/>
      <w:szCs w:val="21"/>
    </w:rPr>
  </w:style>
  <w:style w:type="paragraph" w:styleId="Revision">
    <w:name w:val="Revision"/>
    <w:hidden/>
    <w:uiPriority w:val="99"/>
    <w:semiHidden/>
    <w:rsid w:val="00677F48"/>
    <w:pPr>
      <w:spacing w:after="0" w:line="240" w:lineRule="auto"/>
    </w:pPr>
    <w:rPr>
      <w:lang w:val="en-US"/>
    </w:rPr>
  </w:style>
  <w:style w:type="paragraph" w:styleId="Caption">
    <w:name w:val="caption"/>
    <w:basedOn w:val="Normal"/>
    <w:next w:val="Normal"/>
    <w:uiPriority w:val="35"/>
    <w:unhideWhenUsed/>
    <w:qFormat/>
    <w:rsid w:val="002223BA"/>
    <w:pPr>
      <w:spacing w:line="240" w:lineRule="auto"/>
    </w:pPr>
    <w:rPr>
      <w:i/>
      <w:iCs/>
      <w:color w:val="44546A" w:themeColor="text2"/>
      <w:sz w:val="18"/>
      <w:szCs w:val="18"/>
    </w:rPr>
  </w:style>
  <w:style w:type="paragraph" w:styleId="Header">
    <w:name w:val="header"/>
    <w:basedOn w:val="Normal"/>
    <w:link w:val="HeaderChar"/>
    <w:uiPriority w:val="99"/>
    <w:unhideWhenUsed/>
    <w:rsid w:val="00CF19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9D9"/>
    <w:rPr>
      <w:lang w:val="en-US"/>
    </w:rPr>
  </w:style>
  <w:style w:type="paragraph" w:styleId="Footer">
    <w:name w:val="footer"/>
    <w:basedOn w:val="Normal"/>
    <w:link w:val="FooterChar"/>
    <w:uiPriority w:val="99"/>
    <w:unhideWhenUsed/>
    <w:rsid w:val="00CF19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19D9"/>
    <w:rPr>
      <w:lang w:val="en-US"/>
    </w:rPr>
  </w:style>
  <w:style w:type="table" w:styleId="TableGrid">
    <w:name w:val="Table Grid"/>
    <w:basedOn w:val="TableNormal"/>
    <w:uiPriority w:val="39"/>
    <w:rsid w:val="008F78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1D9A"/>
    <w:rPr>
      <w:rFonts w:eastAsiaTheme="majorEastAsia" w:cstheme="majorBidi"/>
      <w:b/>
      <w:color w:val="ED7D31" w:themeColor="accent2"/>
      <w:sz w:val="24"/>
      <w:szCs w:val="32"/>
      <w:lang w:val="nl-NL"/>
    </w:rPr>
  </w:style>
  <w:style w:type="character" w:customStyle="1" w:styleId="ListParagraphChar">
    <w:name w:val="List Paragraph Char"/>
    <w:link w:val="ListParagraph"/>
    <w:uiPriority w:val="34"/>
    <w:locked/>
    <w:rsid w:val="00661D9A"/>
    <w:rPr>
      <w:lang w:val="en-US"/>
    </w:rPr>
  </w:style>
  <w:style w:type="paragraph" w:styleId="FootnoteText">
    <w:name w:val="footnote text"/>
    <w:basedOn w:val="Normal"/>
    <w:link w:val="FootnoteTextChar"/>
    <w:uiPriority w:val="99"/>
    <w:semiHidden/>
    <w:unhideWhenUsed/>
    <w:rsid w:val="00552960"/>
    <w:pPr>
      <w:spacing w:after="0" w:line="240" w:lineRule="auto"/>
    </w:pPr>
    <w:rPr>
      <w:sz w:val="20"/>
      <w:szCs w:val="20"/>
      <w:lang w:val="nl-NL"/>
    </w:rPr>
  </w:style>
  <w:style w:type="character" w:customStyle="1" w:styleId="FootnoteTextChar">
    <w:name w:val="Footnote Text Char"/>
    <w:basedOn w:val="DefaultParagraphFont"/>
    <w:link w:val="FootnoteText"/>
    <w:uiPriority w:val="99"/>
    <w:semiHidden/>
    <w:rsid w:val="00552960"/>
    <w:rPr>
      <w:sz w:val="20"/>
      <w:szCs w:val="20"/>
      <w:lang w:val="nl-NL"/>
    </w:rPr>
  </w:style>
  <w:style w:type="character" w:styleId="FootnoteReference">
    <w:name w:val="footnote reference"/>
    <w:basedOn w:val="DefaultParagraphFont"/>
    <w:uiPriority w:val="99"/>
    <w:semiHidden/>
    <w:unhideWhenUsed/>
    <w:rsid w:val="00552960"/>
    <w:rPr>
      <w:vertAlign w:val="superscript"/>
    </w:rPr>
  </w:style>
  <w:style w:type="character" w:styleId="Hyperlink">
    <w:name w:val="Hyperlink"/>
    <w:basedOn w:val="DefaultParagraphFont"/>
    <w:uiPriority w:val="99"/>
    <w:unhideWhenUsed/>
    <w:rsid w:val="00552960"/>
    <w:rPr>
      <w:color w:val="0563C1" w:themeColor="hyperlink"/>
      <w:u w:val="single"/>
    </w:rPr>
  </w:style>
  <w:style w:type="character" w:styleId="CommentReference">
    <w:name w:val="annotation reference"/>
    <w:basedOn w:val="DefaultParagraphFont"/>
    <w:uiPriority w:val="99"/>
    <w:semiHidden/>
    <w:unhideWhenUsed/>
    <w:rsid w:val="00126389"/>
    <w:rPr>
      <w:sz w:val="16"/>
      <w:szCs w:val="16"/>
    </w:rPr>
  </w:style>
  <w:style w:type="paragraph" w:styleId="CommentText">
    <w:name w:val="annotation text"/>
    <w:basedOn w:val="Normal"/>
    <w:link w:val="CommentTextChar"/>
    <w:uiPriority w:val="99"/>
    <w:unhideWhenUsed/>
    <w:rsid w:val="00126389"/>
    <w:pPr>
      <w:spacing w:line="240" w:lineRule="auto"/>
    </w:pPr>
    <w:rPr>
      <w:sz w:val="20"/>
      <w:szCs w:val="20"/>
    </w:rPr>
  </w:style>
  <w:style w:type="character" w:customStyle="1" w:styleId="CommentTextChar">
    <w:name w:val="Comment Text Char"/>
    <w:basedOn w:val="DefaultParagraphFont"/>
    <w:link w:val="CommentText"/>
    <w:uiPriority w:val="99"/>
    <w:rsid w:val="00126389"/>
    <w:rPr>
      <w:sz w:val="20"/>
      <w:szCs w:val="20"/>
      <w:lang w:val="en-US"/>
    </w:rPr>
  </w:style>
  <w:style w:type="paragraph" w:styleId="CommentSubject">
    <w:name w:val="annotation subject"/>
    <w:basedOn w:val="CommentText"/>
    <w:next w:val="CommentText"/>
    <w:link w:val="CommentSubjectChar"/>
    <w:uiPriority w:val="99"/>
    <w:semiHidden/>
    <w:unhideWhenUsed/>
    <w:rsid w:val="00126389"/>
    <w:rPr>
      <w:b/>
      <w:bCs/>
    </w:rPr>
  </w:style>
  <w:style w:type="character" w:customStyle="1" w:styleId="CommentSubjectChar">
    <w:name w:val="Comment Subject Char"/>
    <w:basedOn w:val="CommentTextChar"/>
    <w:link w:val="CommentSubject"/>
    <w:uiPriority w:val="99"/>
    <w:semiHidden/>
    <w:rsid w:val="00126389"/>
    <w:rPr>
      <w:b/>
      <w:bCs/>
      <w:sz w:val="20"/>
      <w:szCs w:val="20"/>
      <w:lang w:val="en-US"/>
    </w:rPr>
  </w:style>
  <w:style w:type="character" w:styleId="FollowedHyperlink">
    <w:name w:val="FollowedHyperlink"/>
    <w:basedOn w:val="DefaultParagraphFont"/>
    <w:uiPriority w:val="99"/>
    <w:semiHidden/>
    <w:unhideWhenUsed/>
    <w:rsid w:val="00D33972"/>
    <w:rPr>
      <w:color w:val="954F72"/>
      <w:u w:val="single"/>
    </w:rPr>
  </w:style>
  <w:style w:type="paragraph" w:customStyle="1" w:styleId="msonormal0">
    <w:name w:val="msonormal"/>
    <w:basedOn w:val="Normal"/>
    <w:rsid w:val="00D33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33972"/>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6">
    <w:name w:val="font6"/>
    <w:basedOn w:val="Normal"/>
    <w:rsid w:val="00D33972"/>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D33972"/>
    <w:pPr>
      <w:spacing w:before="100" w:beforeAutospacing="1" w:after="100" w:afterAutospacing="1" w:line="240" w:lineRule="auto"/>
    </w:pPr>
    <w:rPr>
      <w:rFonts w:ascii="Calibri" w:eastAsia="Times New Roman" w:hAnsi="Calibri" w:cs="Calibri"/>
      <w:b/>
      <w:bCs/>
      <w:i/>
      <w:iCs/>
      <w:color w:val="000000"/>
      <w:sz w:val="18"/>
      <w:szCs w:val="18"/>
    </w:rPr>
  </w:style>
  <w:style w:type="paragraph" w:customStyle="1" w:styleId="font8">
    <w:name w:val="font8"/>
    <w:basedOn w:val="Normal"/>
    <w:rsid w:val="00D33972"/>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xl63">
    <w:name w:val="xl63"/>
    <w:basedOn w:val="Normal"/>
    <w:rsid w:val="00D3397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65">
    <w:name w:val="xl65"/>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6">
    <w:name w:val="xl66"/>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7">
    <w:name w:val="xl67"/>
    <w:basedOn w:val="Normal"/>
    <w:rsid w:val="00D3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8">
    <w:name w:val="xl68"/>
    <w:basedOn w:val="Normal"/>
    <w:rsid w:val="00D3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69">
    <w:name w:val="xl69"/>
    <w:basedOn w:val="Normal"/>
    <w:rsid w:val="00D3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70">
    <w:name w:val="xl70"/>
    <w:basedOn w:val="Normal"/>
    <w:rsid w:val="00D339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71">
    <w:name w:val="xl71"/>
    <w:basedOn w:val="Normal"/>
    <w:rsid w:val="00D3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72">
    <w:name w:val="xl72"/>
    <w:basedOn w:val="Normal"/>
    <w:rsid w:val="00D339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D3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D3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5">
    <w:name w:val="xl75"/>
    <w:basedOn w:val="Normal"/>
    <w:rsid w:val="00D339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Normal"/>
    <w:rsid w:val="00D339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7">
    <w:name w:val="xl77"/>
    <w:basedOn w:val="Normal"/>
    <w:rsid w:val="00D33972"/>
    <w:pP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78">
    <w:name w:val="xl78"/>
    <w:basedOn w:val="Normal"/>
    <w:rsid w:val="00D3397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D33972"/>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0">
    <w:name w:val="xl80"/>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1">
    <w:name w:val="xl81"/>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2">
    <w:name w:val="xl82"/>
    <w:basedOn w:val="Normal"/>
    <w:rsid w:val="00D3397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D3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4">
    <w:name w:val="xl84"/>
    <w:basedOn w:val="Normal"/>
    <w:rsid w:val="00D3397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5">
    <w:name w:val="xl85"/>
    <w:basedOn w:val="Normal"/>
    <w:rsid w:val="00D3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6">
    <w:name w:val="xl86"/>
    <w:basedOn w:val="Normal"/>
    <w:rsid w:val="00EA2EA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7">
    <w:name w:val="xl87"/>
    <w:basedOn w:val="Normal"/>
    <w:rsid w:val="00EA2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8">
    <w:name w:val="xl88"/>
    <w:basedOn w:val="Normal"/>
    <w:rsid w:val="00EF5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ED7D31"/>
      <w:sz w:val="18"/>
      <w:szCs w:val="18"/>
    </w:rPr>
  </w:style>
  <w:style w:type="paragraph" w:customStyle="1" w:styleId="xl89">
    <w:name w:val="xl89"/>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0">
    <w:name w:val="xl90"/>
    <w:basedOn w:val="Normal"/>
    <w:rsid w:val="00EF5BD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91">
    <w:name w:val="xl91"/>
    <w:basedOn w:val="Normal"/>
    <w:rsid w:val="00EF5BD0"/>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2">
    <w:name w:val="xl92"/>
    <w:basedOn w:val="Normal"/>
    <w:rsid w:val="00EF5BD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Normal"/>
    <w:rsid w:val="00EF5BD0"/>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EF5BD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95">
    <w:name w:val="xl95"/>
    <w:basedOn w:val="Normal"/>
    <w:rsid w:val="00EF5B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6">
    <w:name w:val="xl96"/>
    <w:basedOn w:val="Normal"/>
    <w:rsid w:val="00EF5BD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7">
    <w:name w:val="xl97"/>
    <w:basedOn w:val="Normal"/>
    <w:rsid w:val="00EF5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8">
    <w:name w:val="xl98"/>
    <w:basedOn w:val="Normal"/>
    <w:rsid w:val="00EF5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99">
    <w:name w:val="xl99"/>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0">
    <w:name w:val="xl100"/>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0000"/>
      <w:sz w:val="18"/>
      <w:szCs w:val="18"/>
    </w:rPr>
  </w:style>
  <w:style w:type="paragraph" w:customStyle="1" w:styleId="xl101">
    <w:name w:val="xl101"/>
    <w:basedOn w:val="Normal"/>
    <w:rsid w:val="00EF5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3">
    <w:name w:val="xl103"/>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0000"/>
      <w:sz w:val="18"/>
      <w:szCs w:val="18"/>
    </w:rPr>
  </w:style>
  <w:style w:type="paragraph" w:customStyle="1" w:styleId="xl104">
    <w:name w:val="xl104"/>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5">
    <w:name w:val="xl105"/>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6">
    <w:name w:val="xl106"/>
    <w:basedOn w:val="Normal"/>
    <w:rsid w:val="00EF5B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07">
    <w:name w:val="xl107"/>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108">
    <w:name w:val="xl108"/>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9">
    <w:name w:val="xl109"/>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0000"/>
      <w:sz w:val="18"/>
      <w:szCs w:val="18"/>
    </w:rPr>
  </w:style>
  <w:style w:type="paragraph" w:customStyle="1" w:styleId="xl110">
    <w:name w:val="xl110"/>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1">
    <w:name w:val="xl111"/>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2">
    <w:name w:val="xl112"/>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3">
    <w:name w:val="xl113"/>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4">
    <w:name w:val="xl114"/>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5">
    <w:name w:val="xl115"/>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6">
    <w:name w:val="xl116"/>
    <w:basedOn w:val="Normal"/>
    <w:rsid w:val="00EF5B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18"/>
      <w:szCs w:val="18"/>
    </w:rPr>
  </w:style>
  <w:style w:type="paragraph" w:customStyle="1" w:styleId="xl117">
    <w:name w:val="xl117"/>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18"/>
      <w:szCs w:val="18"/>
    </w:rPr>
  </w:style>
  <w:style w:type="paragraph" w:customStyle="1" w:styleId="xl118">
    <w:name w:val="xl118"/>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18"/>
      <w:szCs w:val="18"/>
    </w:rPr>
  </w:style>
  <w:style w:type="paragraph" w:customStyle="1" w:styleId="xl119">
    <w:name w:val="xl119"/>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FFFFFF"/>
      <w:sz w:val="18"/>
      <w:szCs w:val="18"/>
    </w:rPr>
  </w:style>
  <w:style w:type="paragraph" w:customStyle="1" w:styleId="xl120">
    <w:name w:val="xl120"/>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121">
    <w:name w:val="xl121"/>
    <w:basedOn w:val="Normal"/>
    <w:rsid w:val="00EF5BD0"/>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0000"/>
      <w:sz w:val="18"/>
      <w:szCs w:val="18"/>
    </w:rPr>
  </w:style>
  <w:style w:type="paragraph" w:customStyle="1" w:styleId="xl122">
    <w:name w:val="xl122"/>
    <w:basedOn w:val="Normal"/>
    <w:rsid w:val="00EF5BD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23">
    <w:name w:val="xl123"/>
    <w:basedOn w:val="Normal"/>
    <w:rsid w:val="00EF5BD0"/>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9536">
      <w:bodyDiv w:val="1"/>
      <w:marLeft w:val="0"/>
      <w:marRight w:val="0"/>
      <w:marTop w:val="0"/>
      <w:marBottom w:val="0"/>
      <w:divBdr>
        <w:top w:val="none" w:sz="0" w:space="0" w:color="auto"/>
        <w:left w:val="none" w:sz="0" w:space="0" w:color="auto"/>
        <w:bottom w:val="none" w:sz="0" w:space="0" w:color="auto"/>
        <w:right w:val="none" w:sz="0" w:space="0" w:color="auto"/>
      </w:divBdr>
    </w:div>
    <w:div w:id="666522635">
      <w:bodyDiv w:val="1"/>
      <w:marLeft w:val="0"/>
      <w:marRight w:val="0"/>
      <w:marTop w:val="0"/>
      <w:marBottom w:val="0"/>
      <w:divBdr>
        <w:top w:val="none" w:sz="0" w:space="0" w:color="auto"/>
        <w:left w:val="none" w:sz="0" w:space="0" w:color="auto"/>
        <w:bottom w:val="none" w:sz="0" w:space="0" w:color="auto"/>
        <w:right w:val="none" w:sz="0" w:space="0" w:color="auto"/>
      </w:divBdr>
    </w:div>
    <w:div w:id="972950201">
      <w:bodyDiv w:val="1"/>
      <w:marLeft w:val="0"/>
      <w:marRight w:val="0"/>
      <w:marTop w:val="0"/>
      <w:marBottom w:val="0"/>
      <w:divBdr>
        <w:top w:val="none" w:sz="0" w:space="0" w:color="auto"/>
        <w:left w:val="none" w:sz="0" w:space="0" w:color="auto"/>
        <w:bottom w:val="none" w:sz="0" w:space="0" w:color="auto"/>
        <w:right w:val="none" w:sz="0" w:space="0" w:color="auto"/>
      </w:divBdr>
    </w:div>
    <w:div w:id="1332369098">
      <w:bodyDiv w:val="1"/>
      <w:marLeft w:val="0"/>
      <w:marRight w:val="0"/>
      <w:marTop w:val="0"/>
      <w:marBottom w:val="0"/>
      <w:divBdr>
        <w:top w:val="none" w:sz="0" w:space="0" w:color="auto"/>
        <w:left w:val="none" w:sz="0" w:space="0" w:color="auto"/>
        <w:bottom w:val="none" w:sz="0" w:space="0" w:color="auto"/>
        <w:right w:val="none" w:sz="0" w:space="0" w:color="auto"/>
      </w:divBdr>
    </w:div>
    <w:div w:id="1631790358">
      <w:bodyDiv w:val="1"/>
      <w:marLeft w:val="0"/>
      <w:marRight w:val="0"/>
      <w:marTop w:val="0"/>
      <w:marBottom w:val="0"/>
      <w:divBdr>
        <w:top w:val="none" w:sz="0" w:space="0" w:color="auto"/>
        <w:left w:val="none" w:sz="0" w:space="0" w:color="auto"/>
        <w:bottom w:val="none" w:sz="0" w:space="0" w:color="auto"/>
        <w:right w:val="none" w:sz="0" w:space="0" w:color="auto"/>
      </w:divBdr>
    </w:div>
    <w:div w:id="1834952113">
      <w:bodyDiv w:val="1"/>
      <w:marLeft w:val="0"/>
      <w:marRight w:val="0"/>
      <w:marTop w:val="0"/>
      <w:marBottom w:val="0"/>
      <w:divBdr>
        <w:top w:val="none" w:sz="0" w:space="0" w:color="auto"/>
        <w:left w:val="none" w:sz="0" w:space="0" w:color="auto"/>
        <w:bottom w:val="none" w:sz="0" w:space="0" w:color="auto"/>
        <w:right w:val="none" w:sz="0" w:space="0" w:color="auto"/>
      </w:divBdr>
    </w:div>
    <w:div w:id="2038433610">
      <w:bodyDiv w:val="1"/>
      <w:marLeft w:val="0"/>
      <w:marRight w:val="0"/>
      <w:marTop w:val="0"/>
      <w:marBottom w:val="0"/>
      <w:divBdr>
        <w:top w:val="none" w:sz="0" w:space="0" w:color="auto"/>
        <w:left w:val="none" w:sz="0" w:space="0" w:color="auto"/>
        <w:bottom w:val="none" w:sz="0" w:space="0" w:color="auto"/>
        <w:right w:val="none" w:sz="0" w:space="0" w:color="auto"/>
      </w:divBdr>
    </w:div>
    <w:div w:id="21160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C9EA-8CFE-4F4C-A60F-4255BA2C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12578</Words>
  <Characters>71697</Characters>
  <Application>Microsoft Office Word</Application>
  <DocSecurity>0</DocSecurity>
  <Lines>597</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Hans Christiaanse</cp:lastModifiedBy>
  <cp:revision>3</cp:revision>
  <cp:lastPrinted>2024-02-16T08:49:00Z</cp:lastPrinted>
  <dcterms:created xsi:type="dcterms:W3CDTF">2024-03-04T11:10:00Z</dcterms:created>
  <dcterms:modified xsi:type="dcterms:W3CDTF">2024-03-07T13:47:00Z</dcterms:modified>
</cp:coreProperties>
</file>