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bCs/>
          <w:kern w:val="32"/>
          <w:sz w:val="22"/>
          <w:szCs w:val="22"/>
          <w:lang w:val="nl-NL"/>
        </w:rPr>
        <w:id w:val="-1958173530"/>
        <w:docPartObj>
          <w:docPartGallery w:val="Cover Pages"/>
          <w:docPartUnique/>
        </w:docPartObj>
      </w:sdtPr>
      <w:sdtEndPr>
        <w:rPr>
          <w:rFonts w:eastAsiaTheme="minorHAnsi" w:cstheme="minorBidi"/>
          <w:b w:val="0"/>
          <w:bCs w:val="0"/>
          <w:kern w:val="0"/>
          <w:lang w:val="fr-FR"/>
        </w:rPr>
      </w:sdtEndPr>
      <w:sdtContent>
        <w:p w14:paraId="20D5C7D6" w14:textId="77777777" w:rsidR="00A76437" w:rsidRDefault="00A76437" w:rsidP="00577792">
          <w:pPr>
            <w:tabs>
              <w:tab w:val="right" w:pos="9072"/>
            </w:tabs>
            <w:rPr>
              <w:rFonts w:ascii="Times New Roman" w:eastAsia="Times New Roman" w:hAnsi="Times New Roman" w:cs="Times New Roman"/>
              <w:b/>
              <w:bCs/>
              <w:kern w:val="32"/>
              <w:sz w:val="22"/>
              <w:szCs w:val="22"/>
              <w:lang w:val="nl-NL"/>
            </w:rPr>
          </w:pPr>
        </w:p>
        <w:p w14:paraId="30B2CF54" w14:textId="77777777" w:rsidR="00441B73" w:rsidRDefault="00441B73" w:rsidP="00441B73">
          <w:pPr>
            <w:pStyle w:val="Sansinterligne"/>
            <w:jc w:val="center"/>
            <w:rPr>
              <w:rFonts w:ascii="Book Antiqua" w:hAnsi="Book Antiqua" w:cstheme="minorHAnsi"/>
              <w:b/>
              <w:bCs/>
              <w:sz w:val="36"/>
              <w:szCs w:val="36"/>
            </w:rPr>
          </w:pPr>
          <w:r w:rsidRPr="00441B73">
            <w:rPr>
              <w:rFonts w:ascii="Book Antiqua" w:hAnsi="Book Antiqua" w:cstheme="minorHAnsi"/>
              <w:b/>
              <w:bCs/>
              <w:sz w:val="36"/>
              <w:szCs w:val="36"/>
            </w:rPr>
            <w:t xml:space="preserve">PROGRAMME "RENFORCEMENT ET APPUI POUR DES PARTIS POLITIQUES INCLUSIFS ET DEMOCRATIQUES" </w:t>
          </w:r>
        </w:p>
        <w:p w14:paraId="41096792" w14:textId="20A68E6E" w:rsidR="00441B73" w:rsidRPr="00441B73" w:rsidRDefault="00441B73" w:rsidP="00441B73">
          <w:pPr>
            <w:pStyle w:val="Sansinterligne"/>
            <w:jc w:val="center"/>
            <w:rPr>
              <w:rFonts w:ascii="Book Antiqua" w:hAnsi="Book Antiqua" w:cstheme="minorHAnsi"/>
              <w:b/>
              <w:bCs/>
              <w:sz w:val="36"/>
              <w:szCs w:val="36"/>
            </w:rPr>
          </w:pPr>
          <w:r w:rsidRPr="00441B73">
            <w:rPr>
              <w:rFonts w:ascii="Book Antiqua" w:hAnsi="Book Antiqua" w:cstheme="minorHAnsi"/>
              <w:b/>
              <w:bCs/>
              <w:sz w:val="36"/>
              <w:szCs w:val="36"/>
            </w:rPr>
            <w:t>(RAPPID)</w:t>
          </w:r>
        </w:p>
        <w:p w14:paraId="295F8062" w14:textId="77777777" w:rsidR="00441B73" w:rsidRDefault="00441B73" w:rsidP="00441B73">
          <w:pPr>
            <w:jc w:val="center"/>
            <w:rPr>
              <w:rFonts w:asciiTheme="majorHAnsi" w:hAnsiTheme="majorHAnsi" w:cstheme="majorHAnsi"/>
              <w:b/>
              <w:bCs/>
              <w:u w:val="single"/>
            </w:rPr>
          </w:pPr>
        </w:p>
        <w:p w14:paraId="06E1D1E2" w14:textId="77777777" w:rsidR="00441B73" w:rsidRDefault="00441B73" w:rsidP="00441B73">
          <w:pPr>
            <w:jc w:val="center"/>
            <w:rPr>
              <w:rFonts w:asciiTheme="majorHAnsi" w:hAnsiTheme="majorHAnsi" w:cstheme="majorHAnsi"/>
              <w:b/>
              <w:bCs/>
              <w:u w:val="single"/>
            </w:rPr>
          </w:pPr>
        </w:p>
        <w:p w14:paraId="00F7E499" w14:textId="3E632F9C" w:rsidR="00441B73" w:rsidRPr="00441B73" w:rsidRDefault="00441B73" w:rsidP="00441B73">
          <w:pPr>
            <w:jc w:val="center"/>
            <w:rPr>
              <w:rFonts w:ascii="Book Antiqua" w:hAnsi="Book Antiqua" w:cstheme="majorHAnsi"/>
              <w:b/>
              <w:bCs/>
              <w:sz w:val="22"/>
              <w:szCs w:val="22"/>
            </w:rPr>
          </w:pPr>
          <w:r w:rsidRPr="00441B73">
            <w:rPr>
              <w:rFonts w:ascii="Book Antiqua" w:hAnsi="Book Antiqua" w:cstheme="majorHAnsi"/>
              <w:b/>
              <w:bCs/>
              <w:sz w:val="22"/>
              <w:szCs w:val="22"/>
            </w:rPr>
            <w:t>COT/2022-4000005999</w:t>
          </w:r>
        </w:p>
        <w:p w14:paraId="5E3CA49B" w14:textId="5783C3DF" w:rsidR="00441B73" w:rsidRDefault="00441B73" w:rsidP="00441B73">
          <w:pPr>
            <w:jc w:val="center"/>
            <w:rPr>
              <w:rFonts w:asciiTheme="majorHAnsi" w:hAnsiTheme="majorHAnsi" w:cstheme="majorHAnsi"/>
              <w:b/>
              <w:bCs/>
            </w:rPr>
          </w:pPr>
        </w:p>
        <w:p w14:paraId="74FE1BA0" w14:textId="77777777" w:rsidR="00441B73" w:rsidRDefault="00441B73" w:rsidP="00441B73">
          <w:pPr>
            <w:jc w:val="center"/>
            <w:rPr>
              <w:rFonts w:ascii="Book Antiqua" w:hAnsi="Book Antiqua" w:cstheme="minorHAnsi"/>
              <w:b/>
              <w:bCs/>
              <w:color w:val="C45911" w:themeColor="accent2" w:themeShade="BF"/>
              <w:sz w:val="48"/>
              <w:szCs w:val="48"/>
            </w:rPr>
          </w:pPr>
        </w:p>
        <w:p w14:paraId="569DB719" w14:textId="77777777" w:rsidR="00441B73" w:rsidRDefault="00441B73" w:rsidP="00441B73">
          <w:pPr>
            <w:jc w:val="right"/>
            <w:rPr>
              <w:rFonts w:ascii="Book Antiqua" w:hAnsi="Book Antiqua" w:cstheme="minorHAnsi"/>
              <w:b/>
              <w:bCs/>
              <w:sz w:val="48"/>
              <w:szCs w:val="48"/>
            </w:rPr>
          </w:pPr>
          <w:r>
            <w:rPr>
              <w:rFonts w:ascii="Book Antiqua" w:hAnsi="Book Antiqua" w:cstheme="minorHAnsi"/>
              <w:b/>
              <w:bCs/>
              <w:sz w:val="48"/>
              <w:szCs w:val="48"/>
            </w:rPr>
            <w:t xml:space="preserve">                  </w:t>
          </w:r>
        </w:p>
        <w:p w14:paraId="62AE4B48" w14:textId="77777777" w:rsidR="00441B73" w:rsidRDefault="00441B73" w:rsidP="00441B73">
          <w:pPr>
            <w:jc w:val="right"/>
            <w:rPr>
              <w:rFonts w:ascii="Book Antiqua" w:hAnsi="Book Antiqua" w:cstheme="minorHAnsi"/>
              <w:b/>
              <w:bCs/>
              <w:sz w:val="48"/>
              <w:szCs w:val="48"/>
            </w:rPr>
          </w:pPr>
        </w:p>
        <w:p w14:paraId="10BC70C0" w14:textId="77777777" w:rsidR="00441B73" w:rsidRDefault="00441B73" w:rsidP="00441B73">
          <w:pPr>
            <w:jc w:val="right"/>
            <w:rPr>
              <w:rFonts w:ascii="Book Antiqua" w:hAnsi="Book Antiqua" w:cstheme="minorHAnsi"/>
              <w:b/>
              <w:bCs/>
              <w:sz w:val="48"/>
              <w:szCs w:val="48"/>
            </w:rPr>
          </w:pPr>
          <w:r>
            <w:rPr>
              <w:rFonts w:ascii="Book Antiqua" w:hAnsi="Book Antiqua" w:cstheme="minorHAnsi"/>
              <w:b/>
              <w:bCs/>
              <w:sz w:val="48"/>
              <w:szCs w:val="48"/>
            </w:rPr>
            <w:t xml:space="preserve">       </w:t>
          </w:r>
        </w:p>
        <w:p w14:paraId="7F16C2C9" w14:textId="0D54FEB7" w:rsidR="00441B73" w:rsidRPr="00441B73" w:rsidRDefault="00441B73" w:rsidP="00441B73">
          <w:pPr>
            <w:jc w:val="right"/>
            <w:rPr>
              <w:rFonts w:ascii="Book Antiqua" w:hAnsi="Book Antiqua" w:cstheme="minorHAnsi"/>
              <w:b/>
              <w:bCs/>
              <w:sz w:val="56"/>
              <w:szCs w:val="56"/>
            </w:rPr>
          </w:pPr>
          <w:r w:rsidRPr="00441B73">
            <w:rPr>
              <w:rFonts w:ascii="Book Antiqua" w:hAnsi="Book Antiqua" w:cstheme="minorHAnsi"/>
              <w:b/>
              <w:bCs/>
              <w:sz w:val="56"/>
              <w:szCs w:val="56"/>
            </w:rPr>
            <w:t xml:space="preserve">NOTE SUR LE </w:t>
          </w:r>
        </w:p>
        <w:p w14:paraId="421D0E6A" w14:textId="24E98830" w:rsidR="00441B73" w:rsidRPr="00441B73" w:rsidRDefault="00441B73" w:rsidP="00441B73">
          <w:pPr>
            <w:jc w:val="right"/>
            <w:rPr>
              <w:rFonts w:ascii="Book Antiqua" w:hAnsi="Book Antiqua" w:cstheme="minorHAnsi"/>
              <w:b/>
              <w:bCs/>
              <w:sz w:val="56"/>
              <w:szCs w:val="56"/>
            </w:rPr>
          </w:pPr>
          <w:r w:rsidRPr="00441B73">
            <w:rPr>
              <w:rFonts w:ascii="Book Antiqua" w:hAnsi="Book Antiqua" w:cstheme="minorHAnsi"/>
              <w:b/>
              <w:bCs/>
              <w:sz w:val="56"/>
              <w:szCs w:val="56"/>
            </w:rPr>
            <w:t xml:space="preserve">          RAPPORT FINANCIER 202</w:t>
          </w:r>
          <w:r w:rsidR="00516960">
            <w:rPr>
              <w:rFonts w:ascii="Book Antiqua" w:hAnsi="Book Antiqua" w:cstheme="minorHAnsi"/>
              <w:b/>
              <w:bCs/>
              <w:sz w:val="56"/>
              <w:szCs w:val="56"/>
            </w:rPr>
            <w:t>5</w:t>
          </w:r>
          <w:r w:rsidRPr="00441B73">
            <w:rPr>
              <w:rFonts w:ascii="Book Antiqua" w:hAnsi="Book Antiqua" w:cstheme="minorHAnsi"/>
              <w:b/>
              <w:bCs/>
              <w:sz w:val="56"/>
              <w:szCs w:val="56"/>
            </w:rPr>
            <w:t> </w:t>
          </w:r>
        </w:p>
        <w:p w14:paraId="4CE14576" w14:textId="5EF7D895" w:rsidR="003F58B3" w:rsidRPr="00577792" w:rsidRDefault="003F58B3" w:rsidP="00577792">
          <w:pPr>
            <w:tabs>
              <w:tab w:val="right" w:pos="9072"/>
            </w:tabs>
            <w:rPr>
              <w:rFonts w:ascii="Times New Roman" w:hAnsi="Times New Roman" w:cs="Times New Roman"/>
              <w:sz w:val="22"/>
              <w:szCs w:val="22"/>
            </w:rPr>
          </w:pPr>
        </w:p>
        <w:p w14:paraId="2449D7F9" w14:textId="232FCC12" w:rsidR="007D63A4" w:rsidRPr="00577792" w:rsidRDefault="007D63A4" w:rsidP="00577792">
          <w:pPr>
            <w:jc w:val="center"/>
            <w:rPr>
              <w:noProof/>
              <w:lang w:eastAsia="fr-FR"/>
            </w:rPr>
          </w:pPr>
        </w:p>
        <w:p w14:paraId="57DDD651" w14:textId="469A2745" w:rsidR="007D63A4" w:rsidRDefault="007D63A4" w:rsidP="00F0667D">
          <w:pPr>
            <w:jc w:val="center"/>
            <w:rPr>
              <w:rFonts w:asciiTheme="majorHAnsi" w:hAnsiTheme="majorHAnsi" w:cstheme="majorHAnsi"/>
              <w:b/>
              <w:bCs/>
              <w:u w:val="single"/>
            </w:rPr>
          </w:pPr>
        </w:p>
        <w:p w14:paraId="01B45248" w14:textId="5B2CA979" w:rsidR="00577792" w:rsidRDefault="00577792" w:rsidP="00F0667D">
          <w:pPr>
            <w:jc w:val="center"/>
            <w:rPr>
              <w:rFonts w:asciiTheme="majorHAnsi" w:hAnsiTheme="majorHAnsi" w:cstheme="majorHAnsi"/>
              <w:b/>
              <w:bCs/>
              <w:u w:val="single"/>
            </w:rPr>
          </w:pPr>
        </w:p>
        <w:p w14:paraId="0CE57F31" w14:textId="71193231" w:rsidR="00F0667D" w:rsidRPr="008612A2" w:rsidRDefault="00F0667D" w:rsidP="00F0667D">
          <w:pPr>
            <w:jc w:val="center"/>
            <w:rPr>
              <w:rFonts w:asciiTheme="majorHAnsi" w:hAnsiTheme="majorHAnsi" w:cstheme="majorHAnsi"/>
              <w:b/>
              <w:bCs/>
            </w:rPr>
          </w:pPr>
        </w:p>
        <w:p w14:paraId="052BFDB4" w14:textId="3ACF7616" w:rsidR="003D6353" w:rsidRPr="003D6353" w:rsidRDefault="003D6353" w:rsidP="00F0667D">
          <w:pPr>
            <w:jc w:val="center"/>
            <w:rPr>
              <w:lang w:eastAsia="fr-FR"/>
            </w:rPr>
          </w:pPr>
        </w:p>
        <w:p w14:paraId="49DF481D" w14:textId="2E15A59F" w:rsidR="00135E10" w:rsidRDefault="00135E10" w:rsidP="003F58B3">
          <w:pPr>
            <w:jc w:val="center"/>
          </w:pPr>
        </w:p>
        <w:p w14:paraId="1961F73E" w14:textId="42D4755E" w:rsidR="00441B73" w:rsidRPr="00441B73" w:rsidRDefault="00441B73" w:rsidP="00441B73">
          <w:pPr>
            <w:pStyle w:val="Sansinterligne"/>
            <w:jc w:val="center"/>
            <w:rPr>
              <w:b/>
              <w:bCs/>
              <w:i/>
              <w:iCs/>
              <w:caps/>
              <w:color w:val="262626" w:themeColor="text1" w:themeTint="D9"/>
              <w:sz w:val="16"/>
              <w:szCs w:val="16"/>
            </w:rPr>
          </w:pPr>
          <w:r w:rsidRPr="00441B73">
            <w:rPr>
              <w:b/>
              <w:bCs/>
              <w:i/>
              <w:iCs/>
              <w:color w:val="262626" w:themeColor="text1" w:themeTint="D9"/>
              <w:sz w:val="18"/>
              <w:szCs w:val="18"/>
            </w:rPr>
            <w:t>PERIODE : 1</w:t>
          </w:r>
          <w:r w:rsidRPr="00441B73">
            <w:rPr>
              <w:b/>
              <w:bCs/>
              <w:i/>
              <w:iCs/>
              <w:color w:val="262626" w:themeColor="text1" w:themeTint="D9"/>
              <w:sz w:val="18"/>
              <w:szCs w:val="18"/>
              <w:vertAlign w:val="superscript"/>
            </w:rPr>
            <w:t>er</w:t>
          </w:r>
          <w:r w:rsidRPr="00441B73">
            <w:rPr>
              <w:b/>
              <w:bCs/>
              <w:i/>
              <w:iCs/>
              <w:color w:val="262626" w:themeColor="text1" w:themeTint="D9"/>
              <w:sz w:val="18"/>
              <w:szCs w:val="18"/>
            </w:rPr>
            <w:t xml:space="preserve"> JANVIER au 31 DECEMBRE 202</w:t>
          </w:r>
          <w:r w:rsidR="00516960">
            <w:rPr>
              <w:b/>
              <w:bCs/>
              <w:i/>
              <w:iCs/>
              <w:color w:val="262626" w:themeColor="text1" w:themeTint="D9"/>
              <w:sz w:val="18"/>
              <w:szCs w:val="18"/>
            </w:rPr>
            <w:t>5</w:t>
          </w:r>
        </w:p>
        <w:p w14:paraId="1974C54A" w14:textId="0E4F8BFD" w:rsidR="003D6353" w:rsidRDefault="003D6353" w:rsidP="004B21F8"/>
        <w:p w14:paraId="525B13C5" w14:textId="3DD127A3" w:rsidR="001E6FDB" w:rsidRDefault="001E6FDB" w:rsidP="004B21F8"/>
        <w:p w14:paraId="01EAFA5B" w14:textId="53173510" w:rsidR="00A76437" w:rsidRDefault="00A76437" w:rsidP="00DD1E60">
          <w:pPr>
            <w:jc w:val="center"/>
            <w:rPr>
              <w:b/>
              <w:bCs/>
            </w:rPr>
          </w:pPr>
        </w:p>
        <w:p w14:paraId="5256FA2B" w14:textId="77777777" w:rsidR="00A76437" w:rsidRDefault="00A76437" w:rsidP="00057501">
          <w:pPr>
            <w:rPr>
              <w:b/>
              <w:bCs/>
            </w:rPr>
          </w:pPr>
        </w:p>
        <w:p w14:paraId="43A47CE6" w14:textId="77777777" w:rsidR="00441B73" w:rsidRDefault="00441B73" w:rsidP="00DD1E60">
          <w:pPr>
            <w:jc w:val="center"/>
            <w:rPr>
              <w:b/>
              <w:bCs/>
            </w:rPr>
          </w:pPr>
        </w:p>
        <w:p w14:paraId="12B00A19" w14:textId="77777777" w:rsidR="00441B73" w:rsidRDefault="00441B73" w:rsidP="00DD1E60">
          <w:pPr>
            <w:jc w:val="center"/>
            <w:rPr>
              <w:b/>
              <w:bCs/>
            </w:rPr>
          </w:pPr>
        </w:p>
        <w:p w14:paraId="7A87A4C8" w14:textId="77777777" w:rsidR="00441B73" w:rsidRDefault="00441B73" w:rsidP="00DD1E60">
          <w:pPr>
            <w:jc w:val="center"/>
            <w:rPr>
              <w:b/>
              <w:bCs/>
            </w:rPr>
          </w:pPr>
        </w:p>
        <w:p w14:paraId="0EEB8892" w14:textId="77777777" w:rsidR="00441B73" w:rsidRDefault="00441B73" w:rsidP="00DD1E60">
          <w:pPr>
            <w:jc w:val="center"/>
            <w:rPr>
              <w:b/>
              <w:bCs/>
            </w:rPr>
          </w:pPr>
        </w:p>
        <w:p w14:paraId="2DA1A73C" w14:textId="77777777" w:rsidR="00441B73" w:rsidRDefault="00441B73" w:rsidP="00DD1E60">
          <w:pPr>
            <w:jc w:val="center"/>
            <w:rPr>
              <w:b/>
              <w:bCs/>
            </w:rPr>
          </w:pPr>
        </w:p>
        <w:p w14:paraId="5107CFF8" w14:textId="383BD24E" w:rsidR="00836327" w:rsidRPr="00DD1E60" w:rsidRDefault="00441B73" w:rsidP="00441B73">
          <w:pPr>
            <w:jc w:val="center"/>
            <w:rPr>
              <w:b/>
              <w:bCs/>
            </w:rPr>
          </w:pPr>
          <w:r>
            <w:rPr>
              <w:b/>
              <w:bCs/>
            </w:rPr>
            <w:t xml:space="preserve">        </w:t>
          </w:r>
          <w:r w:rsidR="00FC3738">
            <w:rPr>
              <w:b/>
              <w:bCs/>
            </w:rPr>
            <w:t>FEVRIER</w:t>
          </w:r>
          <w:r w:rsidR="00DD1E60" w:rsidRPr="00DD1E60">
            <w:rPr>
              <w:b/>
              <w:bCs/>
            </w:rPr>
            <w:t xml:space="preserve"> 202</w:t>
          </w:r>
          <w:r w:rsidR="00516960">
            <w:rPr>
              <w:b/>
              <w:bCs/>
            </w:rPr>
            <w:t>5</w:t>
          </w:r>
        </w:p>
        <w:p w14:paraId="40237992" w14:textId="0E0E369E" w:rsidR="00836327" w:rsidRDefault="00836327" w:rsidP="004B21F8"/>
        <w:p w14:paraId="6F9A534C" w14:textId="1BEA7D25" w:rsidR="00836327" w:rsidRDefault="00441B73" w:rsidP="004B21F8">
          <w:r w:rsidRPr="008612A2">
            <w:rPr>
              <w:rFonts w:cstheme="minorHAnsi"/>
              <w:noProof/>
              <w:sz w:val="22"/>
              <w:szCs w:val="22"/>
              <w:lang w:eastAsia="fr-FR"/>
            </w:rPr>
            <mc:AlternateContent>
              <mc:Choice Requires="wps">
                <w:drawing>
                  <wp:anchor distT="0" distB="0" distL="114300" distR="114300" simplePos="0" relativeHeight="251668480" behindDoc="0" locked="0" layoutInCell="1" allowOverlap="1" wp14:anchorId="29AC46AC" wp14:editId="509036F8">
                    <wp:simplePos x="0" y="0"/>
                    <wp:positionH relativeFrom="margin">
                      <wp:posOffset>2613660</wp:posOffset>
                    </wp:positionH>
                    <wp:positionV relativeFrom="margin">
                      <wp:posOffset>6727190</wp:posOffset>
                    </wp:positionV>
                    <wp:extent cx="3383280" cy="603250"/>
                    <wp:effectExtent l="0" t="0" r="7620" b="6350"/>
                    <wp:wrapSquare wrapText="bothSides"/>
                    <wp:docPr id="1497531803" name="Zone de texte 1497531803"/>
                    <wp:cNvGraphicFramePr/>
                    <a:graphic xmlns:a="http://schemas.openxmlformats.org/drawingml/2006/main">
                      <a:graphicData uri="http://schemas.microsoft.com/office/word/2010/wordprocessingShape">
                        <wps:wsp>
                          <wps:cNvSpPr txBox="1"/>
                          <wps:spPr>
                            <a:xfrm>
                              <a:off x="0" y="0"/>
                              <a:ext cx="338328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4DB21" w14:textId="2142C3E5" w:rsidR="00CB65F4" w:rsidRPr="00A76437" w:rsidRDefault="00CB65F4" w:rsidP="00A76437">
                                <w:pPr>
                                  <w:pStyle w:val="Sansinterligne"/>
                                  <w:rPr>
                                    <w:b/>
                                    <w:bCs/>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AC46AC" id="_x0000_t202" coordsize="21600,21600" o:spt="202" path="m,l,21600r21600,l21600,xe">
                    <v:stroke joinstyle="miter"/>
                    <v:path gradientshapeok="t" o:connecttype="rect"/>
                  </v:shapetype>
                  <v:shape id="Zone de texte 1497531803" o:spid="_x0000_s1026" type="#_x0000_t202" style="position:absolute;margin-left:205.8pt;margin-top:529.7pt;width:266.4pt;height: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" filled="f" stroked="f" strokeweight=".5pt">
                    <v:textbox inset="0,0,0,0">
                      <w:txbxContent>
                        <w:p w14:paraId="16A4DB21" w14:textId="2142C3E5" w:rsidR="00CB65F4" w:rsidRPr="00A76437" w:rsidRDefault="00CB65F4" w:rsidP="00A76437">
                          <w:pPr>
                            <w:pStyle w:val="Sansinterligne"/>
                            <w:rPr>
                              <w:b/>
                              <w:bCs/>
                              <w:caps/>
                              <w:color w:val="262626" w:themeColor="text1" w:themeTint="D9"/>
                              <w:sz w:val="20"/>
                              <w:szCs w:val="20"/>
                            </w:rPr>
                          </w:pPr>
                        </w:p>
                      </w:txbxContent>
                    </v:textbox>
                    <w10:wrap type="square" anchorx="margin" anchory="margin"/>
                  </v:shape>
                </w:pict>
              </mc:Fallback>
            </mc:AlternateContent>
          </w:r>
        </w:p>
        <w:p w14:paraId="0E2EFF1C" w14:textId="77777777" w:rsidR="00836327" w:rsidRDefault="00836327" w:rsidP="004B21F8"/>
        <w:p w14:paraId="07C0C1DF" w14:textId="698FE6BE" w:rsidR="00836327" w:rsidRDefault="00836327" w:rsidP="004B21F8"/>
        <w:p w14:paraId="375792FB" w14:textId="35AE81B3" w:rsidR="00057501" w:rsidRPr="00057501" w:rsidRDefault="00000000" w:rsidP="00057501"/>
      </w:sdtContent>
    </w:sdt>
    <w:bookmarkStart w:id="0" w:name="_Toc130116081" w:displacedByCustomXml="prev"/>
    <w:bookmarkStart w:id="1" w:name="_Toc128504281" w:displacedByCustomXml="prev"/>
    <w:bookmarkStart w:id="2" w:name="_Toc119322934" w:displacedByCustomXml="prev"/>
    <w:bookmarkStart w:id="3" w:name="_Toc117606389" w:displacedByCustomXml="prev"/>
    <w:bookmarkStart w:id="4" w:name="_Toc112058400" w:displacedByCustomXml="prev"/>
    <w:p w14:paraId="298CEA6C" w14:textId="5C0F1962" w:rsidR="00DD1E60" w:rsidRDefault="00135E10" w:rsidP="00825269">
      <w:pPr>
        <w:pStyle w:val="Titre1"/>
        <w:tabs>
          <w:tab w:val="right" w:pos="9072"/>
          <w:tab w:val="right" w:pos="9638"/>
        </w:tabs>
        <w:spacing w:line="240" w:lineRule="auto"/>
        <w:rPr>
          <w:rFonts w:ascii="Book Antiqua" w:hAnsi="Book Antiqua" w:cstheme="minorHAnsi"/>
        </w:rPr>
      </w:pPr>
      <w:bookmarkStart w:id="5" w:name="_Toc223104662"/>
      <w:r w:rsidRPr="00057501">
        <w:rPr>
          <w:rFonts w:ascii="Book Antiqua" w:hAnsi="Book Antiqua" w:cstheme="minorHAnsi"/>
        </w:rPr>
        <w:lastRenderedPageBreak/>
        <w:t>TABLE DES MATIE</w:t>
      </w:r>
      <w:r w:rsidR="00D65CFF" w:rsidRPr="00057501">
        <w:rPr>
          <w:rFonts w:ascii="Book Antiqua" w:hAnsi="Book Antiqua" w:cstheme="minorHAnsi"/>
        </w:rPr>
        <w:t>RES</w:t>
      </w:r>
      <w:bookmarkEnd w:id="4"/>
      <w:bookmarkEnd w:id="3"/>
      <w:bookmarkEnd w:id="2"/>
      <w:bookmarkEnd w:id="1"/>
      <w:bookmarkEnd w:id="0"/>
      <w:bookmarkEnd w:id="5"/>
    </w:p>
    <w:p w14:paraId="009C1D84" w14:textId="77777777" w:rsidR="00D24BD5" w:rsidRDefault="00D24BD5" w:rsidP="00D24BD5">
      <w:pPr>
        <w:rPr>
          <w:lang w:val="nl-NL"/>
        </w:rPr>
      </w:pPr>
    </w:p>
    <w:p w14:paraId="27E858F9" w14:textId="77777777" w:rsidR="00D24BD5" w:rsidRPr="00D24BD5" w:rsidRDefault="00D24BD5" w:rsidP="00D24BD5">
      <w:pPr>
        <w:rPr>
          <w:sz w:val="44"/>
          <w:szCs w:val="44"/>
          <w:lang w:val="nl-NL"/>
        </w:rPr>
      </w:pPr>
    </w:p>
    <w:p w14:paraId="548A3624" w14:textId="027A977B" w:rsidR="00D24BD5" w:rsidRPr="00D24BD5" w:rsidRDefault="000430EC">
      <w:pPr>
        <w:pStyle w:val="TM1"/>
        <w:rPr>
          <w:rFonts w:eastAsiaTheme="minorEastAsia"/>
          <w:noProof/>
          <w:kern w:val="2"/>
          <w:sz w:val="44"/>
          <w:szCs w:val="44"/>
          <w:lang w:val="fr-FR" w:eastAsia="fr-FR"/>
          <w14:ligatures w14:val="standardContextual"/>
        </w:rPr>
      </w:pPr>
      <w:r w:rsidRPr="00D24BD5">
        <w:rPr>
          <w:rFonts w:asciiTheme="majorHAnsi" w:hAnsiTheme="majorHAnsi"/>
          <w:sz w:val="380"/>
          <w:szCs w:val="380"/>
        </w:rPr>
        <w:fldChar w:fldCharType="begin"/>
      </w:r>
      <w:r w:rsidRPr="00D24BD5">
        <w:rPr>
          <w:rFonts w:asciiTheme="majorHAnsi" w:hAnsiTheme="majorHAnsi"/>
          <w:sz w:val="380"/>
          <w:szCs w:val="380"/>
        </w:rPr>
        <w:instrText xml:space="preserve"> TOC \o "1-3" \h \z \u </w:instrText>
      </w:r>
      <w:r w:rsidRPr="00D24BD5">
        <w:rPr>
          <w:rFonts w:asciiTheme="majorHAnsi" w:hAnsiTheme="majorHAnsi"/>
          <w:sz w:val="380"/>
          <w:szCs w:val="380"/>
        </w:rPr>
        <w:fldChar w:fldCharType="separate"/>
      </w:r>
      <w:hyperlink w:anchor="_Toc223104662" w:history="1">
        <w:r w:rsidR="00D24BD5" w:rsidRPr="00D24BD5">
          <w:rPr>
            <w:rStyle w:val="Lienhypertexte"/>
            <w:rFonts w:ascii="Book Antiqua" w:hAnsi="Book Antiqua" w:cstheme="minorHAnsi"/>
            <w:noProof/>
            <w:sz w:val="20"/>
            <w:szCs w:val="20"/>
          </w:rPr>
          <w:t>TABLE DES MATIERES</w:t>
        </w:r>
        <w:r w:rsidR="00D24BD5" w:rsidRPr="00D24BD5">
          <w:rPr>
            <w:noProof/>
            <w:webHidden/>
            <w:sz w:val="20"/>
            <w:szCs w:val="20"/>
          </w:rPr>
          <w:tab/>
        </w:r>
        <w:r w:rsidR="00D24BD5" w:rsidRPr="00D24BD5">
          <w:rPr>
            <w:noProof/>
            <w:webHidden/>
            <w:sz w:val="20"/>
            <w:szCs w:val="20"/>
          </w:rPr>
          <w:fldChar w:fldCharType="begin"/>
        </w:r>
        <w:r w:rsidR="00D24BD5" w:rsidRPr="00D24BD5">
          <w:rPr>
            <w:noProof/>
            <w:webHidden/>
            <w:sz w:val="20"/>
            <w:szCs w:val="20"/>
          </w:rPr>
          <w:instrText xml:space="preserve"> PAGEREF _Toc223104662 \h </w:instrText>
        </w:r>
        <w:r w:rsidR="00D24BD5" w:rsidRPr="00D24BD5">
          <w:rPr>
            <w:noProof/>
            <w:webHidden/>
            <w:sz w:val="20"/>
            <w:szCs w:val="20"/>
          </w:rPr>
        </w:r>
        <w:r w:rsidR="00D24BD5" w:rsidRPr="00D24BD5">
          <w:rPr>
            <w:noProof/>
            <w:webHidden/>
            <w:sz w:val="20"/>
            <w:szCs w:val="20"/>
          </w:rPr>
          <w:fldChar w:fldCharType="separate"/>
        </w:r>
        <w:r w:rsidR="00D24BD5" w:rsidRPr="00D24BD5">
          <w:rPr>
            <w:noProof/>
            <w:webHidden/>
            <w:sz w:val="20"/>
            <w:szCs w:val="20"/>
          </w:rPr>
          <w:t>1</w:t>
        </w:r>
        <w:r w:rsidR="00D24BD5" w:rsidRPr="00D24BD5">
          <w:rPr>
            <w:noProof/>
            <w:webHidden/>
            <w:sz w:val="20"/>
            <w:szCs w:val="20"/>
          </w:rPr>
          <w:fldChar w:fldCharType="end"/>
        </w:r>
      </w:hyperlink>
    </w:p>
    <w:p w14:paraId="554BDA5E" w14:textId="2FB43062" w:rsidR="00D24BD5" w:rsidRPr="00D24BD5" w:rsidRDefault="00D24BD5">
      <w:pPr>
        <w:pStyle w:val="TM1"/>
        <w:rPr>
          <w:rFonts w:eastAsiaTheme="minorEastAsia"/>
          <w:noProof/>
          <w:kern w:val="2"/>
          <w:sz w:val="44"/>
          <w:szCs w:val="44"/>
          <w:lang w:val="fr-FR" w:eastAsia="fr-FR"/>
          <w14:ligatures w14:val="standardContextual"/>
        </w:rPr>
      </w:pPr>
      <w:hyperlink w:anchor="_Toc223104663" w:history="1">
        <w:r w:rsidRPr="00D24BD5">
          <w:rPr>
            <w:rStyle w:val="Lienhypertexte"/>
            <w:rFonts w:ascii="Book Antiqua" w:hAnsi="Book Antiqua" w:cstheme="minorHAnsi"/>
            <w:noProof/>
            <w:sz w:val="20"/>
            <w:szCs w:val="20"/>
          </w:rPr>
          <w:t>INTRODUCTION</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_Toc223104663 \h </w:instrText>
        </w:r>
        <w:r w:rsidRPr="00D24BD5">
          <w:rPr>
            <w:noProof/>
            <w:webHidden/>
            <w:sz w:val="20"/>
            <w:szCs w:val="20"/>
          </w:rPr>
        </w:r>
        <w:r w:rsidRPr="00D24BD5">
          <w:rPr>
            <w:noProof/>
            <w:webHidden/>
            <w:sz w:val="20"/>
            <w:szCs w:val="20"/>
          </w:rPr>
          <w:fldChar w:fldCharType="separate"/>
        </w:r>
        <w:r w:rsidRPr="00D24BD5">
          <w:rPr>
            <w:noProof/>
            <w:webHidden/>
            <w:sz w:val="20"/>
            <w:szCs w:val="20"/>
          </w:rPr>
          <w:t>1</w:t>
        </w:r>
        <w:r w:rsidRPr="00D24BD5">
          <w:rPr>
            <w:noProof/>
            <w:webHidden/>
            <w:sz w:val="20"/>
            <w:szCs w:val="20"/>
          </w:rPr>
          <w:fldChar w:fldCharType="end"/>
        </w:r>
      </w:hyperlink>
    </w:p>
    <w:p w14:paraId="5A053970" w14:textId="53CBF356" w:rsidR="00D24BD5" w:rsidRPr="00D24BD5" w:rsidRDefault="00D24BD5">
      <w:pPr>
        <w:pStyle w:val="TM1"/>
        <w:tabs>
          <w:tab w:val="left" w:pos="480"/>
        </w:tabs>
        <w:rPr>
          <w:rFonts w:eastAsiaTheme="minorEastAsia"/>
          <w:noProof/>
          <w:kern w:val="2"/>
          <w:sz w:val="44"/>
          <w:szCs w:val="44"/>
          <w:lang w:val="fr-FR" w:eastAsia="fr-FR"/>
          <w14:ligatures w14:val="standardContextual"/>
        </w:rPr>
      </w:pPr>
      <w:hyperlink w:anchor="_Toc223104664" w:history="1">
        <w:r w:rsidRPr="00D24BD5">
          <w:rPr>
            <w:rStyle w:val="Lienhypertexte"/>
            <w:rFonts w:ascii="Book Antiqua" w:hAnsi="Book Antiqua" w:cstheme="minorHAnsi"/>
            <w:noProof/>
            <w:sz w:val="20"/>
            <w:szCs w:val="20"/>
          </w:rPr>
          <w:t>1-</w:t>
        </w:r>
        <w:r w:rsidRPr="00D24BD5">
          <w:rPr>
            <w:rFonts w:eastAsiaTheme="minorEastAsia"/>
            <w:noProof/>
            <w:kern w:val="2"/>
            <w:sz w:val="44"/>
            <w:szCs w:val="44"/>
            <w:lang w:val="fr-FR" w:eastAsia="fr-FR"/>
            <w14:ligatures w14:val="standardContextual"/>
          </w:rPr>
          <w:tab/>
        </w:r>
        <w:r w:rsidRPr="00D24BD5">
          <w:rPr>
            <w:rStyle w:val="Lienhypertexte"/>
            <w:rFonts w:ascii="Book Antiqua" w:hAnsi="Book Antiqua" w:cstheme="minorHAnsi"/>
            <w:noProof/>
            <w:sz w:val="20"/>
            <w:szCs w:val="20"/>
          </w:rPr>
          <w:t>RECAPITULATIF DES RESOSURCES ET EMPLOIS DE 2025</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_Toc223104664 \h </w:instrText>
        </w:r>
        <w:r w:rsidRPr="00D24BD5">
          <w:rPr>
            <w:noProof/>
            <w:webHidden/>
            <w:sz w:val="20"/>
            <w:szCs w:val="20"/>
          </w:rPr>
        </w:r>
        <w:r w:rsidRPr="00D24BD5">
          <w:rPr>
            <w:noProof/>
            <w:webHidden/>
            <w:sz w:val="20"/>
            <w:szCs w:val="20"/>
          </w:rPr>
          <w:fldChar w:fldCharType="separate"/>
        </w:r>
        <w:r w:rsidRPr="00D24BD5">
          <w:rPr>
            <w:noProof/>
            <w:webHidden/>
            <w:sz w:val="20"/>
            <w:szCs w:val="20"/>
          </w:rPr>
          <w:t>3</w:t>
        </w:r>
        <w:r w:rsidRPr="00D24BD5">
          <w:rPr>
            <w:noProof/>
            <w:webHidden/>
            <w:sz w:val="20"/>
            <w:szCs w:val="20"/>
          </w:rPr>
          <w:fldChar w:fldCharType="end"/>
        </w:r>
      </w:hyperlink>
    </w:p>
    <w:p w14:paraId="1579701B" w14:textId="7361A45F" w:rsidR="00D24BD5" w:rsidRPr="00D24BD5" w:rsidRDefault="00D24BD5">
      <w:pPr>
        <w:pStyle w:val="TM1"/>
        <w:tabs>
          <w:tab w:val="left" w:pos="480"/>
        </w:tabs>
        <w:rPr>
          <w:rFonts w:eastAsiaTheme="minorEastAsia"/>
          <w:noProof/>
          <w:kern w:val="2"/>
          <w:sz w:val="44"/>
          <w:szCs w:val="44"/>
          <w:lang w:val="fr-FR" w:eastAsia="fr-FR"/>
          <w14:ligatures w14:val="standardContextual"/>
        </w:rPr>
      </w:pPr>
      <w:hyperlink w:anchor="_Toc223104665" w:history="1">
        <w:r w:rsidRPr="00D24BD5">
          <w:rPr>
            <w:rStyle w:val="Lienhypertexte"/>
            <w:rFonts w:ascii="Book Antiqua" w:hAnsi="Book Antiqua" w:cstheme="minorHAnsi"/>
            <w:noProof/>
            <w:sz w:val="20"/>
            <w:szCs w:val="20"/>
          </w:rPr>
          <w:t>2-</w:t>
        </w:r>
        <w:r w:rsidRPr="00D24BD5">
          <w:rPr>
            <w:rFonts w:eastAsiaTheme="minorEastAsia"/>
            <w:noProof/>
            <w:kern w:val="2"/>
            <w:sz w:val="44"/>
            <w:szCs w:val="44"/>
            <w:lang w:val="fr-FR" w:eastAsia="fr-FR"/>
            <w14:ligatures w14:val="standardContextual"/>
          </w:rPr>
          <w:tab/>
        </w:r>
        <w:r w:rsidRPr="00D24BD5">
          <w:rPr>
            <w:rStyle w:val="Lienhypertexte"/>
            <w:rFonts w:ascii="Book Antiqua" w:hAnsi="Book Antiqua" w:cstheme="minorHAnsi"/>
            <w:noProof/>
            <w:sz w:val="20"/>
            <w:szCs w:val="20"/>
          </w:rPr>
          <w:t>SITUATION DES RESSOURCES ET DES EMPLOIS AU 31 DÉCEMBRE 2025</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_Toc223104665 \h </w:instrText>
        </w:r>
        <w:r w:rsidRPr="00D24BD5">
          <w:rPr>
            <w:noProof/>
            <w:webHidden/>
            <w:sz w:val="20"/>
            <w:szCs w:val="20"/>
          </w:rPr>
        </w:r>
        <w:r w:rsidRPr="00D24BD5">
          <w:rPr>
            <w:noProof/>
            <w:webHidden/>
            <w:sz w:val="20"/>
            <w:szCs w:val="20"/>
          </w:rPr>
          <w:fldChar w:fldCharType="separate"/>
        </w:r>
        <w:r w:rsidRPr="00D24BD5">
          <w:rPr>
            <w:noProof/>
            <w:webHidden/>
            <w:sz w:val="20"/>
            <w:szCs w:val="20"/>
          </w:rPr>
          <w:t>6</w:t>
        </w:r>
        <w:r w:rsidRPr="00D24BD5">
          <w:rPr>
            <w:noProof/>
            <w:webHidden/>
            <w:sz w:val="20"/>
            <w:szCs w:val="20"/>
          </w:rPr>
          <w:fldChar w:fldCharType="end"/>
        </w:r>
      </w:hyperlink>
    </w:p>
    <w:p w14:paraId="6ECE7D4B" w14:textId="06B60532" w:rsidR="00D24BD5" w:rsidRPr="00D24BD5" w:rsidRDefault="00D24BD5">
      <w:pPr>
        <w:pStyle w:val="TM1"/>
        <w:tabs>
          <w:tab w:val="left" w:pos="480"/>
        </w:tabs>
        <w:rPr>
          <w:rFonts w:eastAsiaTheme="minorEastAsia"/>
          <w:noProof/>
          <w:kern w:val="2"/>
          <w:sz w:val="44"/>
          <w:szCs w:val="44"/>
          <w:lang w:val="fr-FR" w:eastAsia="fr-FR"/>
          <w14:ligatures w14:val="standardContextual"/>
        </w:rPr>
      </w:pPr>
      <w:hyperlink w:anchor="_Toc223104666" w:history="1">
        <w:r w:rsidRPr="00D24BD5">
          <w:rPr>
            <w:rStyle w:val="Lienhypertexte"/>
            <w:rFonts w:ascii="Book Antiqua" w:hAnsi="Book Antiqua" w:cstheme="minorHAnsi"/>
            <w:noProof/>
            <w:sz w:val="20"/>
            <w:szCs w:val="20"/>
          </w:rPr>
          <w:t>3-</w:t>
        </w:r>
        <w:r w:rsidRPr="00D24BD5">
          <w:rPr>
            <w:rFonts w:eastAsiaTheme="minorEastAsia"/>
            <w:noProof/>
            <w:kern w:val="2"/>
            <w:sz w:val="44"/>
            <w:szCs w:val="44"/>
            <w:lang w:val="fr-FR" w:eastAsia="fr-FR"/>
            <w14:ligatures w14:val="standardContextual"/>
          </w:rPr>
          <w:tab/>
        </w:r>
        <w:r w:rsidRPr="00D24BD5">
          <w:rPr>
            <w:rStyle w:val="Lienhypertexte"/>
            <w:rFonts w:ascii="Book Antiqua" w:hAnsi="Book Antiqua" w:cstheme="minorHAnsi"/>
            <w:noProof/>
            <w:sz w:val="20"/>
            <w:szCs w:val="20"/>
          </w:rPr>
          <w:t>LE SUIVI BUDGETAIRE DES REALISATIONS DE 2025</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_Toc223104666 \h </w:instrText>
        </w:r>
        <w:r w:rsidRPr="00D24BD5">
          <w:rPr>
            <w:noProof/>
            <w:webHidden/>
            <w:sz w:val="20"/>
            <w:szCs w:val="20"/>
          </w:rPr>
        </w:r>
        <w:r w:rsidRPr="00D24BD5">
          <w:rPr>
            <w:noProof/>
            <w:webHidden/>
            <w:sz w:val="20"/>
            <w:szCs w:val="20"/>
          </w:rPr>
          <w:fldChar w:fldCharType="separate"/>
        </w:r>
        <w:r w:rsidRPr="00D24BD5">
          <w:rPr>
            <w:noProof/>
            <w:webHidden/>
            <w:sz w:val="20"/>
            <w:szCs w:val="20"/>
          </w:rPr>
          <w:t>10</w:t>
        </w:r>
        <w:r w:rsidRPr="00D24BD5">
          <w:rPr>
            <w:noProof/>
            <w:webHidden/>
            <w:sz w:val="20"/>
            <w:szCs w:val="20"/>
          </w:rPr>
          <w:fldChar w:fldCharType="end"/>
        </w:r>
      </w:hyperlink>
    </w:p>
    <w:p w14:paraId="02A99D03" w14:textId="5475A711" w:rsidR="00D24BD5" w:rsidRPr="00D24BD5" w:rsidRDefault="00D24BD5">
      <w:pPr>
        <w:pStyle w:val="TM1"/>
        <w:tabs>
          <w:tab w:val="left" w:pos="480"/>
        </w:tabs>
        <w:rPr>
          <w:rFonts w:eastAsiaTheme="minorEastAsia"/>
          <w:noProof/>
          <w:kern w:val="2"/>
          <w:sz w:val="44"/>
          <w:szCs w:val="44"/>
          <w:lang w:val="fr-FR" w:eastAsia="fr-FR"/>
          <w14:ligatures w14:val="standardContextual"/>
        </w:rPr>
      </w:pPr>
      <w:hyperlink w:anchor="_Toc223104667" w:history="1">
        <w:r w:rsidRPr="00D24BD5">
          <w:rPr>
            <w:rStyle w:val="Lienhypertexte"/>
            <w:rFonts w:ascii="Book Antiqua" w:hAnsi="Book Antiqua" w:cstheme="minorHAnsi"/>
            <w:noProof/>
            <w:sz w:val="20"/>
            <w:szCs w:val="20"/>
          </w:rPr>
          <w:t>4-</w:t>
        </w:r>
        <w:r w:rsidRPr="00D24BD5">
          <w:rPr>
            <w:rFonts w:eastAsiaTheme="minorEastAsia"/>
            <w:noProof/>
            <w:kern w:val="2"/>
            <w:sz w:val="44"/>
            <w:szCs w:val="44"/>
            <w:lang w:val="fr-FR" w:eastAsia="fr-FR"/>
            <w14:ligatures w14:val="standardContextual"/>
          </w:rPr>
          <w:tab/>
        </w:r>
        <w:r w:rsidRPr="00D24BD5">
          <w:rPr>
            <w:rStyle w:val="Lienhypertexte"/>
            <w:rFonts w:ascii="Book Antiqua" w:hAnsi="Book Antiqua" w:cstheme="minorHAnsi"/>
            <w:noProof/>
            <w:sz w:val="20"/>
            <w:szCs w:val="20"/>
          </w:rPr>
          <w:t>SYNTHESE DE L’EXECUTION BUDGETAIRE PAR RUBRIQUES</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_Toc223104667 \h </w:instrText>
        </w:r>
        <w:r w:rsidRPr="00D24BD5">
          <w:rPr>
            <w:noProof/>
            <w:webHidden/>
            <w:sz w:val="20"/>
            <w:szCs w:val="20"/>
          </w:rPr>
        </w:r>
        <w:r w:rsidRPr="00D24BD5">
          <w:rPr>
            <w:noProof/>
            <w:webHidden/>
            <w:sz w:val="20"/>
            <w:szCs w:val="20"/>
          </w:rPr>
          <w:fldChar w:fldCharType="separate"/>
        </w:r>
        <w:r w:rsidRPr="00D24BD5">
          <w:rPr>
            <w:noProof/>
            <w:webHidden/>
            <w:sz w:val="20"/>
            <w:szCs w:val="20"/>
          </w:rPr>
          <w:t>10</w:t>
        </w:r>
        <w:r w:rsidRPr="00D24BD5">
          <w:rPr>
            <w:noProof/>
            <w:webHidden/>
            <w:sz w:val="20"/>
            <w:szCs w:val="20"/>
          </w:rPr>
          <w:fldChar w:fldCharType="end"/>
        </w:r>
      </w:hyperlink>
    </w:p>
    <w:p w14:paraId="3FF92BD2" w14:textId="7DE1FEB8" w:rsidR="00D24BD5" w:rsidRPr="00D24BD5" w:rsidRDefault="00D24BD5">
      <w:pPr>
        <w:pStyle w:val="TM1"/>
        <w:rPr>
          <w:rFonts w:eastAsiaTheme="minorEastAsia"/>
          <w:noProof/>
          <w:kern w:val="2"/>
          <w:sz w:val="44"/>
          <w:szCs w:val="44"/>
          <w:lang w:val="fr-FR" w:eastAsia="fr-FR"/>
          <w14:ligatures w14:val="standardContextual"/>
        </w:rPr>
      </w:pPr>
      <w:hyperlink w:anchor="_Toc223104668" w:history="1">
        <w:r w:rsidRPr="00D24BD5">
          <w:rPr>
            <w:rStyle w:val="Lienhypertexte"/>
            <w:rFonts w:ascii="Book Antiqua" w:hAnsi="Book Antiqua" w:cstheme="minorHAnsi"/>
            <w:noProof/>
            <w:sz w:val="20"/>
            <w:szCs w:val="20"/>
          </w:rPr>
          <w:t>CONCLUSION</w:t>
        </w:r>
        <w:r w:rsidRPr="00D24BD5">
          <w:rPr>
            <w:noProof/>
            <w:webHidden/>
            <w:sz w:val="20"/>
            <w:szCs w:val="20"/>
          </w:rPr>
          <w:tab/>
        </w:r>
        <w:r w:rsidRPr="00D24BD5">
          <w:rPr>
            <w:noProof/>
            <w:webHidden/>
            <w:sz w:val="20"/>
            <w:szCs w:val="20"/>
          </w:rPr>
          <w:fldChar w:fldCharType="begin"/>
        </w:r>
        <w:r w:rsidRPr="00D24BD5">
          <w:rPr>
            <w:noProof/>
            <w:webHidden/>
            <w:sz w:val="20"/>
            <w:szCs w:val="20"/>
          </w:rPr>
          <w:instrText xml:space="preserve"> PAGEREF _Toc223104668 \h </w:instrText>
        </w:r>
        <w:r w:rsidRPr="00D24BD5">
          <w:rPr>
            <w:noProof/>
            <w:webHidden/>
            <w:sz w:val="20"/>
            <w:szCs w:val="20"/>
          </w:rPr>
        </w:r>
        <w:r w:rsidRPr="00D24BD5">
          <w:rPr>
            <w:noProof/>
            <w:webHidden/>
            <w:sz w:val="20"/>
            <w:szCs w:val="20"/>
          </w:rPr>
          <w:fldChar w:fldCharType="separate"/>
        </w:r>
        <w:r w:rsidRPr="00D24BD5">
          <w:rPr>
            <w:noProof/>
            <w:webHidden/>
            <w:sz w:val="20"/>
            <w:szCs w:val="20"/>
          </w:rPr>
          <w:t>0</w:t>
        </w:r>
        <w:r w:rsidRPr="00D24BD5">
          <w:rPr>
            <w:noProof/>
            <w:webHidden/>
            <w:sz w:val="20"/>
            <w:szCs w:val="20"/>
          </w:rPr>
          <w:fldChar w:fldCharType="end"/>
        </w:r>
      </w:hyperlink>
    </w:p>
    <w:p w14:paraId="443DDD57" w14:textId="5512E5D1" w:rsidR="00D65CFF" w:rsidRPr="00506B75" w:rsidRDefault="000430EC" w:rsidP="00DD1E60">
      <w:pPr>
        <w:spacing w:line="360" w:lineRule="auto"/>
        <w:rPr>
          <w:sz w:val="72"/>
          <w:szCs w:val="72"/>
          <w:lang w:val="nl-NL"/>
        </w:rPr>
      </w:pPr>
      <w:r w:rsidRPr="00D24BD5">
        <w:rPr>
          <w:rFonts w:asciiTheme="majorHAnsi" w:hAnsiTheme="majorHAnsi"/>
          <w:sz w:val="380"/>
          <w:szCs w:val="380"/>
          <w:lang w:val="nl-NL"/>
        </w:rPr>
        <w:fldChar w:fldCharType="end"/>
      </w:r>
    </w:p>
    <w:p w14:paraId="5A189B43" w14:textId="77777777" w:rsidR="006B27D7" w:rsidRDefault="006B27D7" w:rsidP="00D65CFF">
      <w:pPr>
        <w:rPr>
          <w:lang w:val="nl-NL"/>
        </w:rPr>
      </w:pPr>
    </w:p>
    <w:p w14:paraId="7D09319A" w14:textId="77777777" w:rsidR="006B27D7" w:rsidRDefault="006B27D7" w:rsidP="00DD1E60">
      <w:pPr>
        <w:tabs>
          <w:tab w:val="left" w:pos="9356"/>
        </w:tabs>
        <w:rPr>
          <w:lang w:val="nl-NL"/>
        </w:rPr>
      </w:pPr>
    </w:p>
    <w:p w14:paraId="64C0E019" w14:textId="36CCECC3" w:rsidR="006B27D7" w:rsidRDefault="006B27D7" w:rsidP="00D65CFF">
      <w:pPr>
        <w:rPr>
          <w:lang w:val="nl-NL"/>
        </w:rPr>
      </w:pPr>
    </w:p>
    <w:p w14:paraId="5662025C" w14:textId="77777777" w:rsidR="006B27D7" w:rsidRDefault="006B27D7" w:rsidP="00D65CFF">
      <w:pPr>
        <w:rPr>
          <w:lang w:val="nl-NL"/>
        </w:rPr>
      </w:pPr>
    </w:p>
    <w:p w14:paraId="0901771D" w14:textId="77777777" w:rsidR="006B27D7" w:rsidRDefault="006B27D7" w:rsidP="00D65CFF">
      <w:pPr>
        <w:rPr>
          <w:lang w:val="nl-NL"/>
        </w:rPr>
      </w:pPr>
    </w:p>
    <w:p w14:paraId="32126212" w14:textId="62A41989" w:rsidR="00836327" w:rsidRDefault="00836327" w:rsidP="00836327">
      <w:pPr>
        <w:spacing w:line="360" w:lineRule="auto"/>
        <w:contextualSpacing/>
        <w:jc w:val="both"/>
        <w:rPr>
          <w:lang w:val="nl-NL"/>
        </w:rPr>
      </w:pPr>
      <w:r>
        <w:rPr>
          <w:lang w:val="nl-NL"/>
        </w:rPr>
        <w:t xml:space="preserve"> </w:t>
      </w:r>
    </w:p>
    <w:p w14:paraId="4C748166" w14:textId="2C94FDB9" w:rsidR="00836327" w:rsidRDefault="00836327" w:rsidP="00836327">
      <w:pPr>
        <w:spacing w:line="360" w:lineRule="auto"/>
        <w:contextualSpacing/>
        <w:jc w:val="both"/>
        <w:rPr>
          <w:lang w:val="nl-NL"/>
        </w:rPr>
      </w:pPr>
    </w:p>
    <w:p w14:paraId="6AD6699D" w14:textId="3E9E89D9" w:rsidR="00836327" w:rsidRDefault="00836327" w:rsidP="00836327">
      <w:pPr>
        <w:spacing w:line="360" w:lineRule="auto"/>
        <w:contextualSpacing/>
        <w:jc w:val="both"/>
        <w:rPr>
          <w:lang w:val="nl-NL"/>
        </w:rPr>
      </w:pPr>
    </w:p>
    <w:p w14:paraId="631B0D31" w14:textId="1FD5F5F5" w:rsidR="00836327" w:rsidRDefault="00836327" w:rsidP="00836327">
      <w:pPr>
        <w:spacing w:line="360" w:lineRule="auto"/>
        <w:contextualSpacing/>
        <w:jc w:val="both"/>
        <w:rPr>
          <w:lang w:val="nl-NL"/>
        </w:rPr>
      </w:pPr>
    </w:p>
    <w:p w14:paraId="6E4973B8" w14:textId="12E95122" w:rsidR="00836327" w:rsidRDefault="00836327" w:rsidP="00836327">
      <w:pPr>
        <w:spacing w:line="360" w:lineRule="auto"/>
        <w:contextualSpacing/>
        <w:jc w:val="both"/>
        <w:rPr>
          <w:lang w:val="nl-NL"/>
        </w:rPr>
      </w:pPr>
    </w:p>
    <w:p w14:paraId="1BDA3F6C" w14:textId="1EBFE34F" w:rsidR="00836327" w:rsidRDefault="00836327" w:rsidP="00836327">
      <w:pPr>
        <w:spacing w:line="360" w:lineRule="auto"/>
        <w:contextualSpacing/>
        <w:jc w:val="both"/>
        <w:rPr>
          <w:lang w:val="nl-NL"/>
        </w:rPr>
      </w:pPr>
    </w:p>
    <w:p w14:paraId="428015B5" w14:textId="02B273B1" w:rsidR="00836327" w:rsidRDefault="00836327" w:rsidP="00836327">
      <w:pPr>
        <w:spacing w:line="360" w:lineRule="auto"/>
        <w:contextualSpacing/>
        <w:jc w:val="both"/>
        <w:rPr>
          <w:lang w:val="nl-NL"/>
        </w:rPr>
      </w:pPr>
    </w:p>
    <w:p w14:paraId="130D019B" w14:textId="7503428B" w:rsidR="00057501" w:rsidRDefault="00057501" w:rsidP="00836327">
      <w:pPr>
        <w:spacing w:line="360" w:lineRule="auto"/>
        <w:contextualSpacing/>
        <w:jc w:val="both"/>
        <w:rPr>
          <w:lang w:val="nl-NL"/>
        </w:rPr>
      </w:pPr>
    </w:p>
    <w:p w14:paraId="191CB7EC" w14:textId="7DC8A216" w:rsidR="00057501" w:rsidRDefault="00057501" w:rsidP="00836327">
      <w:pPr>
        <w:spacing w:line="360" w:lineRule="auto"/>
        <w:contextualSpacing/>
        <w:jc w:val="both"/>
        <w:rPr>
          <w:lang w:val="nl-NL"/>
        </w:rPr>
      </w:pPr>
    </w:p>
    <w:p w14:paraId="14FF1F87" w14:textId="77777777" w:rsidR="00057501" w:rsidRDefault="00057501" w:rsidP="00836327">
      <w:pPr>
        <w:spacing w:line="360" w:lineRule="auto"/>
        <w:contextualSpacing/>
        <w:jc w:val="both"/>
        <w:rPr>
          <w:lang w:val="nl-NL"/>
        </w:rPr>
      </w:pPr>
    </w:p>
    <w:p w14:paraId="5FDE5FF6" w14:textId="71143E06" w:rsidR="00836327" w:rsidRDefault="00836327" w:rsidP="00836327">
      <w:pPr>
        <w:spacing w:line="360" w:lineRule="auto"/>
        <w:contextualSpacing/>
        <w:jc w:val="both"/>
        <w:rPr>
          <w:b/>
          <w:bCs/>
          <w:color w:val="FF0000"/>
        </w:rPr>
      </w:pPr>
    </w:p>
    <w:p w14:paraId="304FC619" w14:textId="7DE4C101" w:rsidR="00836327" w:rsidRPr="00577792" w:rsidRDefault="00836327" w:rsidP="00D57AE6">
      <w:pPr>
        <w:pStyle w:val="Titre1"/>
        <w:spacing w:line="240" w:lineRule="auto"/>
        <w:rPr>
          <w:rFonts w:ascii="Book Antiqua" w:hAnsi="Book Antiqua" w:cstheme="minorHAnsi"/>
          <w:color w:val="4472C4" w:themeColor="accent1"/>
          <w:sz w:val="22"/>
          <w:szCs w:val="22"/>
          <w:u w:val="single"/>
        </w:rPr>
      </w:pPr>
      <w:bookmarkStart w:id="6" w:name="_Toc223104663"/>
      <w:r w:rsidRPr="00577792">
        <w:rPr>
          <w:rFonts w:ascii="Book Antiqua" w:hAnsi="Book Antiqua" w:cstheme="minorHAnsi"/>
          <w:color w:val="4472C4" w:themeColor="accent1"/>
          <w:sz w:val="22"/>
          <w:szCs w:val="22"/>
          <w:u w:val="single"/>
        </w:rPr>
        <w:lastRenderedPageBreak/>
        <w:t>INTRODUCTION</w:t>
      </w:r>
      <w:bookmarkEnd w:id="6"/>
    </w:p>
    <w:p w14:paraId="3324F938" w14:textId="77777777" w:rsidR="00577792" w:rsidRPr="00577792" w:rsidRDefault="00577792" w:rsidP="00577792">
      <w:pPr>
        <w:spacing w:line="360" w:lineRule="auto"/>
        <w:jc w:val="both"/>
        <w:rPr>
          <w:rFonts w:ascii="Book Antiqua" w:hAnsi="Book Antiqua" w:cs="Tahoma"/>
          <w:sz w:val="10"/>
          <w:szCs w:val="10"/>
        </w:rPr>
      </w:pPr>
    </w:p>
    <w:p w14:paraId="7F6F8040" w14:textId="6A0ABB93" w:rsidR="00836327" w:rsidRPr="00836327" w:rsidRDefault="00836327" w:rsidP="00836327">
      <w:pPr>
        <w:spacing w:after="160" w:line="360" w:lineRule="auto"/>
        <w:jc w:val="both"/>
        <w:rPr>
          <w:rFonts w:ascii="Book Antiqua" w:hAnsi="Book Antiqua" w:cs="Tahoma"/>
        </w:rPr>
      </w:pPr>
      <w:r w:rsidRPr="00836327">
        <w:rPr>
          <w:rFonts w:ascii="Book Antiqua" w:hAnsi="Book Antiqua" w:cs="Tahoma"/>
        </w:rPr>
        <w:t>L</w:t>
      </w:r>
      <w:r w:rsidR="00D24BD5">
        <w:rPr>
          <w:rFonts w:ascii="Book Antiqua" w:hAnsi="Book Antiqua" w:cs="Tahoma"/>
        </w:rPr>
        <w:t>a présente</w:t>
      </w:r>
      <w:r w:rsidR="00441B73">
        <w:rPr>
          <w:rFonts w:ascii="Book Antiqua" w:hAnsi="Book Antiqua" w:cs="Tahoma"/>
        </w:rPr>
        <w:t xml:space="preserve"> note sur le </w:t>
      </w:r>
      <w:r w:rsidR="00D24BD5">
        <w:rPr>
          <w:rFonts w:ascii="Book Antiqua" w:hAnsi="Book Antiqua" w:cs="Tahoma"/>
        </w:rPr>
        <w:t>R</w:t>
      </w:r>
      <w:r w:rsidRPr="00836327">
        <w:rPr>
          <w:rFonts w:ascii="Book Antiqua" w:hAnsi="Book Antiqua" w:cs="Tahoma"/>
        </w:rPr>
        <w:t xml:space="preserve">apport </w:t>
      </w:r>
      <w:r w:rsidR="00D24BD5">
        <w:rPr>
          <w:rFonts w:ascii="Book Antiqua" w:hAnsi="Book Antiqua" w:cs="Tahoma"/>
        </w:rPr>
        <w:t>F</w:t>
      </w:r>
      <w:r w:rsidRPr="00836327">
        <w:rPr>
          <w:rFonts w:ascii="Book Antiqua" w:hAnsi="Book Antiqua" w:cs="Tahoma"/>
        </w:rPr>
        <w:t xml:space="preserve">inancier </w:t>
      </w:r>
      <w:r w:rsidR="00441B73">
        <w:rPr>
          <w:rFonts w:ascii="Book Antiqua" w:hAnsi="Book Antiqua" w:cs="Tahoma"/>
        </w:rPr>
        <w:t xml:space="preserve">est un </w:t>
      </w:r>
      <w:r w:rsidR="00E84FD4">
        <w:rPr>
          <w:rFonts w:ascii="Book Antiqua" w:hAnsi="Book Antiqua" w:cs="Tahoma"/>
        </w:rPr>
        <w:t xml:space="preserve">complément d’informations sur </w:t>
      </w:r>
      <w:r w:rsidRPr="00836327">
        <w:rPr>
          <w:rFonts w:ascii="Book Antiqua" w:hAnsi="Book Antiqua" w:cs="Tahoma"/>
        </w:rPr>
        <w:t xml:space="preserve">l’exécution financière des différentes activités prévues dans le cadre de la mise en œuvre du programme </w:t>
      </w:r>
      <w:r w:rsidRPr="00E84FD4">
        <w:rPr>
          <w:rFonts w:ascii="Book Antiqua" w:hAnsi="Book Antiqua" w:cs="Tahoma"/>
          <w:b/>
          <w:bCs/>
        </w:rPr>
        <w:t>« Renforcement et Appui pour des Partis Politiques Inclusifs et Démocratiques »</w:t>
      </w:r>
      <w:r w:rsidRPr="00836327">
        <w:rPr>
          <w:rFonts w:ascii="Book Antiqua" w:hAnsi="Book Antiqua" w:cs="Tahoma"/>
        </w:rPr>
        <w:t xml:space="preserve"> (RAPPID) sur la période du </w:t>
      </w:r>
      <w:r w:rsidR="00571FFE">
        <w:rPr>
          <w:rFonts w:ascii="Book Antiqua" w:hAnsi="Book Antiqua" w:cs="Tahoma"/>
        </w:rPr>
        <w:t>1</w:t>
      </w:r>
      <w:r w:rsidR="00571FFE" w:rsidRPr="00571FFE">
        <w:rPr>
          <w:rFonts w:ascii="Book Antiqua" w:hAnsi="Book Antiqua" w:cs="Tahoma"/>
          <w:vertAlign w:val="superscript"/>
        </w:rPr>
        <w:t>er</w:t>
      </w:r>
      <w:r w:rsidR="00571FFE">
        <w:rPr>
          <w:rFonts w:ascii="Book Antiqua" w:hAnsi="Book Antiqua" w:cs="Tahoma"/>
        </w:rPr>
        <w:t xml:space="preserve"> janvier </w:t>
      </w:r>
      <w:r w:rsidRPr="00836327">
        <w:rPr>
          <w:rFonts w:ascii="Book Antiqua" w:hAnsi="Book Antiqua" w:cs="Tahoma"/>
        </w:rPr>
        <w:t>au 31 décembre 202</w:t>
      </w:r>
      <w:r w:rsidR="005B6005">
        <w:rPr>
          <w:rFonts w:ascii="Book Antiqua" w:hAnsi="Book Antiqua" w:cs="Tahoma"/>
        </w:rPr>
        <w:t>5</w:t>
      </w:r>
      <w:r w:rsidRPr="00836327">
        <w:rPr>
          <w:rFonts w:ascii="Book Antiqua" w:hAnsi="Book Antiqua" w:cs="Tahoma"/>
        </w:rPr>
        <w:t>. Il prend en compte l’ensemble des opérations du consortium Institut Néerlandais pour la Démocratie Multipartite (NIMD)</w:t>
      </w:r>
      <w:r w:rsidR="00C140BD">
        <w:rPr>
          <w:rFonts w:ascii="Book Antiqua" w:hAnsi="Book Antiqua" w:cs="Tahoma"/>
        </w:rPr>
        <w:t xml:space="preserve"> et </w:t>
      </w:r>
      <w:r w:rsidR="00D57343">
        <w:rPr>
          <w:rFonts w:ascii="Book Antiqua" w:hAnsi="Book Antiqua" w:cs="Tahoma"/>
        </w:rPr>
        <w:t xml:space="preserve">de </w:t>
      </w:r>
      <w:r w:rsidR="00D57343" w:rsidRPr="00836327">
        <w:rPr>
          <w:rFonts w:ascii="Book Antiqua" w:hAnsi="Book Antiqua" w:cs="Tahoma"/>
        </w:rPr>
        <w:t>l’Institut</w:t>
      </w:r>
      <w:r w:rsidRPr="00836327">
        <w:rPr>
          <w:rFonts w:ascii="Book Antiqua" w:hAnsi="Book Antiqua" w:cs="Tahoma"/>
        </w:rPr>
        <w:t xml:space="preserve"> pour la Gouvernance Démocratique (IGD)</w:t>
      </w:r>
      <w:r w:rsidR="00C140BD">
        <w:rPr>
          <w:rFonts w:ascii="Book Antiqua" w:hAnsi="Book Antiqua" w:cs="Tahoma"/>
        </w:rPr>
        <w:t xml:space="preserve"> </w:t>
      </w:r>
    </w:p>
    <w:p w14:paraId="2A9AE7FA" w14:textId="582343CC" w:rsidR="00836327" w:rsidRDefault="00836327" w:rsidP="00836327">
      <w:pPr>
        <w:spacing w:line="360" w:lineRule="auto"/>
        <w:jc w:val="both"/>
        <w:rPr>
          <w:rFonts w:ascii="Book Antiqua" w:hAnsi="Book Antiqua" w:cs="Tahoma"/>
        </w:rPr>
      </w:pPr>
      <w:r w:rsidRPr="00E84FD4">
        <w:rPr>
          <w:rFonts w:ascii="Book Antiqua" w:hAnsi="Book Antiqua" w:cs="Tahoma"/>
          <w:b/>
          <w:bCs/>
        </w:rPr>
        <w:t>Le programme ‘’Renforcement et Appui pour des Partis Politiques Inclusifs et Démocratiques’’ (RAPPID)</w:t>
      </w:r>
      <w:r w:rsidRPr="00836327">
        <w:rPr>
          <w:rFonts w:ascii="Book Antiqua" w:hAnsi="Book Antiqua" w:cs="Tahoma"/>
        </w:rPr>
        <w:t xml:space="preserve"> est </w:t>
      </w:r>
      <w:r w:rsidR="00571FFE">
        <w:rPr>
          <w:rFonts w:ascii="Book Antiqua" w:hAnsi="Book Antiqua" w:cs="Tahoma"/>
        </w:rPr>
        <w:t>un programme d’</w:t>
      </w:r>
      <w:r w:rsidRPr="00836327">
        <w:rPr>
          <w:rFonts w:ascii="Book Antiqua" w:hAnsi="Book Antiqua" w:cs="Tahoma"/>
        </w:rPr>
        <w:t xml:space="preserve">une durée de 4 ans (2022-2026) et est mis en œuvre par </w:t>
      </w:r>
      <w:r w:rsidRPr="00E84FD4">
        <w:rPr>
          <w:rFonts w:ascii="Book Antiqua" w:hAnsi="Book Antiqua" w:cs="Tahoma"/>
          <w:b/>
          <w:bCs/>
        </w:rPr>
        <w:t>l’Institut Néerlandais pour la Démocratie Multipartite (NIMD) et l’Institut pour la Gouvernance Démocratique (IGD</w:t>
      </w:r>
      <w:r w:rsidRPr="00836327">
        <w:rPr>
          <w:rFonts w:ascii="Book Antiqua" w:hAnsi="Book Antiqua" w:cs="Tahoma"/>
        </w:rPr>
        <w:t xml:space="preserve">). Il vise à renforcer les partis politiques du Bénin afin qu’ils contribuent plus efficacement au développement inclusif et à la paix à travers la mise en œuvre de leurs rôles et missions démocratiques. </w:t>
      </w:r>
    </w:p>
    <w:p w14:paraId="5BECBF5A" w14:textId="3A18AC62" w:rsidR="0013021F" w:rsidRPr="00422BCF" w:rsidRDefault="0013021F" w:rsidP="00836327">
      <w:pPr>
        <w:spacing w:line="360" w:lineRule="auto"/>
        <w:jc w:val="both"/>
        <w:rPr>
          <w:rFonts w:ascii="Book Antiqua" w:hAnsi="Book Antiqua" w:cs="Tahoma"/>
          <w:sz w:val="10"/>
          <w:szCs w:val="10"/>
        </w:rPr>
      </w:pPr>
      <w:r>
        <w:rPr>
          <w:rFonts w:ascii="Book Antiqua" w:hAnsi="Book Antiqua" w:cs="Tahoma"/>
        </w:rPr>
        <w:t xml:space="preserve">                                                     </w:t>
      </w:r>
    </w:p>
    <w:p w14:paraId="13C23C1D" w14:textId="77777777" w:rsidR="00836327" w:rsidRPr="00836327" w:rsidRDefault="00836327" w:rsidP="00836327">
      <w:pPr>
        <w:spacing w:line="360" w:lineRule="auto"/>
        <w:jc w:val="both"/>
        <w:rPr>
          <w:rFonts w:ascii="Book Antiqua" w:hAnsi="Book Antiqua" w:cs="Tahoma"/>
        </w:rPr>
      </w:pPr>
      <w:r w:rsidRPr="00836327">
        <w:rPr>
          <w:rFonts w:ascii="Book Antiqua" w:hAnsi="Book Antiqua" w:cs="Tahoma"/>
        </w:rPr>
        <w:t xml:space="preserve">Axé sur la Théorie du Changement collée aux besoins et variations du système partisan béninois et de ses acteurs dans leur diversité, le programme RAPPID vise de manière spécifique à : </w:t>
      </w:r>
    </w:p>
    <w:p w14:paraId="251EA4E9" w14:textId="03CE31DF" w:rsidR="00836327" w:rsidRPr="00836327" w:rsidRDefault="00571FFE" w:rsidP="00836327">
      <w:pPr>
        <w:pStyle w:val="Paragraphedeliste"/>
        <w:numPr>
          <w:ilvl w:val="0"/>
          <w:numId w:val="14"/>
        </w:numPr>
        <w:spacing w:after="240" w:line="360" w:lineRule="auto"/>
        <w:jc w:val="both"/>
        <w:rPr>
          <w:rFonts w:ascii="Book Antiqua" w:hAnsi="Book Antiqua" w:cs="Tahoma"/>
        </w:rPr>
      </w:pPr>
      <w:r w:rsidRPr="00836327">
        <w:rPr>
          <w:rFonts w:ascii="Book Antiqua" w:hAnsi="Book Antiqua" w:cs="Tahoma"/>
        </w:rPr>
        <w:t>Contribuer</w:t>
      </w:r>
      <w:r w:rsidR="00836327" w:rsidRPr="00836327">
        <w:rPr>
          <w:rFonts w:ascii="Book Antiqua" w:hAnsi="Book Antiqua" w:cs="Tahoma"/>
        </w:rPr>
        <w:t xml:space="preserve"> à l’amélioration du fonctionnement et la gouvernance des partis afin de leur permettre de mieux jouer leurs rôles et missions ; </w:t>
      </w:r>
    </w:p>
    <w:p w14:paraId="23A94F1F" w14:textId="1AB07D36" w:rsidR="00836327" w:rsidRPr="00836327" w:rsidRDefault="00571FFE" w:rsidP="00836327">
      <w:pPr>
        <w:pStyle w:val="Paragraphedeliste"/>
        <w:numPr>
          <w:ilvl w:val="0"/>
          <w:numId w:val="14"/>
        </w:numPr>
        <w:spacing w:after="240" w:line="360" w:lineRule="auto"/>
        <w:jc w:val="both"/>
        <w:rPr>
          <w:rFonts w:ascii="Book Antiqua" w:hAnsi="Book Antiqua" w:cs="Tahoma"/>
        </w:rPr>
      </w:pPr>
      <w:r w:rsidRPr="00836327">
        <w:rPr>
          <w:rFonts w:ascii="Book Antiqua" w:hAnsi="Book Antiqua" w:cs="Tahoma"/>
        </w:rPr>
        <w:t>Appuyer</w:t>
      </w:r>
      <w:r w:rsidR="00836327" w:rsidRPr="00836327">
        <w:rPr>
          <w:rFonts w:ascii="Book Antiqua" w:hAnsi="Book Antiqua" w:cs="Tahoma"/>
        </w:rPr>
        <w:t xml:space="preserve"> les Institutions de la République et les ministères sectoriels dans leurs rôles et missions en lien avec le système partisan ; </w:t>
      </w:r>
    </w:p>
    <w:p w14:paraId="314D0EE3" w14:textId="0F41845D" w:rsidR="00836327" w:rsidRPr="00836327" w:rsidRDefault="00571FFE" w:rsidP="00422BCF">
      <w:pPr>
        <w:pStyle w:val="Paragraphedeliste"/>
        <w:numPr>
          <w:ilvl w:val="0"/>
          <w:numId w:val="14"/>
        </w:numPr>
        <w:spacing w:line="360" w:lineRule="auto"/>
        <w:jc w:val="both"/>
        <w:rPr>
          <w:rFonts w:ascii="Book Antiqua" w:hAnsi="Book Antiqua" w:cs="Tahoma"/>
        </w:rPr>
      </w:pPr>
      <w:r w:rsidRPr="00836327">
        <w:rPr>
          <w:rFonts w:ascii="Book Antiqua" w:hAnsi="Book Antiqua" w:cs="Tahoma"/>
        </w:rPr>
        <w:t>Contribuer</w:t>
      </w:r>
      <w:r w:rsidR="00836327" w:rsidRPr="00836327">
        <w:rPr>
          <w:rFonts w:ascii="Book Antiqua" w:hAnsi="Book Antiqua" w:cs="Tahoma"/>
        </w:rPr>
        <w:t xml:space="preserve"> à instituer le dialogue interpartis dans les pratiques politiques du Bénin.</w:t>
      </w:r>
    </w:p>
    <w:p w14:paraId="2DF3887A" w14:textId="77777777" w:rsidR="00422BCF" w:rsidRPr="00422BCF" w:rsidRDefault="00422BCF" w:rsidP="00422BCF">
      <w:pPr>
        <w:spacing w:line="360" w:lineRule="auto"/>
        <w:jc w:val="both"/>
        <w:rPr>
          <w:rFonts w:ascii="Book Antiqua" w:hAnsi="Book Antiqua" w:cs="Tahoma"/>
          <w:sz w:val="10"/>
          <w:szCs w:val="10"/>
        </w:rPr>
      </w:pPr>
    </w:p>
    <w:p w14:paraId="7440DDE6" w14:textId="173B4ED9" w:rsid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Il est financé par l’Ambassade Royale des Pays-Bas au Bénin pour un </w:t>
      </w:r>
      <w:r w:rsidR="006C3A79" w:rsidRPr="00836327">
        <w:rPr>
          <w:rFonts w:ascii="Book Antiqua" w:hAnsi="Book Antiqua" w:cs="Tahoma"/>
        </w:rPr>
        <w:t>montant d’un</w:t>
      </w:r>
      <w:r w:rsidR="0052777E">
        <w:rPr>
          <w:rFonts w:ascii="Book Antiqua" w:hAnsi="Book Antiqua" w:cs="Tahoma"/>
        </w:rPr>
        <w:t xml:space="preserve"> </w:t>
      </w:r>
      <w:r w:rsidR="00422BCF" w:rsidRPr="00422BCF">
        <w:rPr>
          <w:rFonts w:ascii="Book Antiqua" w:hAnsi="Book Antiqua" w:cs="Tahoma"/>
        </w:rPr>
        <w:t>million</w:t>
      </w:r>
      <w:r w:rsidR="0052777E">
        <w:rPr>
          <w:rFonts w:ascii="Book Antiqua" w:hAnsi="Book Antiqua" w:cs="Tahoma"/>
        </w:rPr>
        <w:t xml:space="preserve"> six cent</w:t>
      </w:r>
      <w:r w:rsidR="00422BCF" w:rsidRPr="00422BCF">
        <w:rPr>
          <w:rFonts w:ascii="Book Antiqua" w:hAnsi="Book Antiqua" w:cs="Tahoma"/>
        </w:rPr>
        <w:t xml:space="preserve"> mille (</w:t>
      </w:r>
      <w:r w:rsidR="0052777E" w:rsidRPr="00836327">
        <w:rPr>
          <w:rFonts w:ascii="Book Antiqua" w:hAnsi="Book Antiqua" w:cs="Tahoma"/>
        </w:rPr>
        <w:t>1 600 000</w:t>
      </w:r>
      <w:r w:rsidR="00422BCF" w:rsidRPr="00422BCF">
        <w:rPr>
          <w:rFonts w:ascii="Book Antiqua" w:hAnsi="Book Antiqua" w:cs="Tahoma"/>
        </w:rPr>
        <w:t xml:space="preserve">) </w:t>
      </w:r>
      <w:r w:rsidR="0052777E" w:rsidRPr="00422BCF">
        <w:rPr>
          <w:rFonts w:ascii="Book Antiqua" w:hAnsi="Book Antiqua" w:cs="Tahoma"/>
        </w:rPr>
        <w:t>euros soit un</w:t>
      </w:r>
      <w:r w:rsidR="00422BCF" w:rsidRPr="00422BCF">
        <w:rPr>
          <w:rFonts w:ascii="Book Antiqua" w:hAnsi="Book Antiqua" w:cs="Tahoma"/>
        </w:rPr>
        <w:t xml:space="preserve"> milliard </w:t>
      </w:r>
      <w:r w:rsidR="0052777E">
        <w:rPr>
          <w:rFonts w:ascii="Book Antiqua" w:hAnsi="Book Antiqua" w:cs="Tahoma"/>
        </w:rPr>
        <w:t xml:space="preserve">quarante-neuf </w:t>
      </w:r>
      <w:r w:rsidR="00531D83">
        <w:rPr>
          <w:rFonts w:ascii="Book Antiqua" w:hAnsi="Book Antiqua" w:cs="Tahoma"/>
        </w:rPr>
        <w:t>millions cinq</w:t>
      </w:r>
      <w:r w:rsidR="0052777E">
        <w:rPr>
          <w:rFonts w:ascii="Book Antiqua" w:hAnsi="Book Antiqua" w:cs="Tahoma"/>
        </w:rPr>
        <w:t xml:space="preserve"> cent </w:t>
      </w:r>
      <w:r w:rsidR="00422BCF" w:rsidRPr="00422BCF">
        <w:rPr>
          <w:rFonts w:ascii="Book Antiqua" w:hAnsi="Book Antiqua" w:cs="Tahoma"/>
        </w:rPr>
        <w:t>tr</w:t>
      </w:r>
      <w:r w:rsidR="0052777E">
        <w:rPr>
          <w:rFonts w:ascii="Book Antiqua" w:hAnsi="Book Antiqua" w:cs="Tahoma"/>
        </w:rPr>
        <w:t>ente</w:t>
      </w:r>
      <w:r w:rsidR="00422BCF" w:rsidRPr="00422BCF">
        <w:rPr>
          <w:rFonts w:ascii="Book Antiqua" w:hAnsi="Book Antiqua" w:cs="Tahoma"/>
        </w:rPr>
        <w:t xml:space="preserve"> </w:t>
      </w:r>
      <w:r w:rsidR="0052777E">
        <w:rPr>
          <w:rFonts w:ascii="Book Antiqua" w:hAnsi="Book Antiqua" w:cs="Tahoma"/>
        </w:rPr>
        <w:t xml:space="preserve">un mille deux </w:t>
      </w:r>
      <w:r w:rsidR="00D24BD5">
        <w:rPr>
          <w:rFonts w:ascii="Book Antiqua" w:hAnsi="Book Antiqua" w:cs="Tahoma"/>
        </w:rPr>
        <w:t>cents</w:t>
      </w:r>
      <w:r w:rsidR="0052777E">
        <w:rPr>
          <w:rFonts w:ascii="Book Antiqua" w:hAnsi="Book Antiqua" w:cs="Tahoma"/>
        </w:rPr>
        <w:t xml:space="preserve"> </w:t>
      </w:r>
      <w:r w:rsidR="00422BCF" w:rsidRPr="00422BCF">
        <w:rPr>
          <w:rFonts w:ascii="Book Antiqua" w:hAnsi="Book Antiqua" w:cs="Tahoma"/>
        </w:rPr>
        <w:t>francs (1</w:t>
      </w:r>
      <w:r w:rsidR="0052777E">
        <w:rPr>
          <w:rFonts w:ascii="Book Antiqua" w:hAnsi="Book Antiqua" w:cs="Tahoma"/>
        </w:rPr>
        <w:t xml:space="preserve"> 049 531 </w:t>
      </w:r>
      <w:r w:rsidR="00756E06">
        <w:rPr>
          <w:rFonts w:ascii="Book Antiqua" w:hAnsi="Book Antiqua" w:cs="Tahoma"/>
        </w:rPr>
        <w:t>200</w:t>
      </w:r>
      <w:r w:rsidR="00756E06" w:rsidRPr="00422BCF">
        <w:rPr>
          <w:rFonts w:ascii="Book Antiqua" w:hAnsi="Book Antiqua" w:cs="Tahoma"/>
        </w:rPr>
        <w:t>)</w:t>
      </w:r>
      <w:r w:rsidR="00422BCF" w:rsidRPr="00422BCF">
        <w:rPr>
          <w:rFonts w:ascii="Book Antiqua" w:hAnsi="Book Antiqua" w:cs="Tahoma"/>
        </w:rPr>
        <w:t xml:space="preserve"> F CFA</w:t>
      </w:r>
      <w:r w:rsidR="00422BCF">
        <w:rPr>
          <w:rFonts w:ascii="Book Antiqua" w:hAnsi="Book Antiqua" w:cs="Tahoma"/>
        </w:rPr>
        <w:t>.</w:t>
      </w:r>
      <w:r w:rsidR="00DE28C7">
        <w:rPr>
          <w:rFonts w:ascii="Book Antiqua" w:hAnsi="Book Antiqua" w:cs="Tahoma"/>
        </w:rPr>
        <w:t xml:space="preserve"> </w:t>
      </w:r>
    </w:p>
    <w:p w14:paraId="5C8CD1D2" w14:textId="686F64B5" w:rsidR="00DE28C7" w:rsidRPr="00836327" w:rsidRDefault="00AC2B1B" w:rsidP="00836327">
      <w:pPr>
        <w:spacing w:after="160" w:line="360" w:lineRule="auto"/>
        <w:jc w:val="both"/>
        <w:rPr>
          <w:rFonts w:ascii="Book Antiqua" w:hAnsi="Book Antiqua" w:cs="Tahoma"/>
        </w:rPr>
      </w:pPr>
      <w:r>
        <w:rPr>
          <w:rFonts w:ascii="Book Antiqua" w:hAnsi="Book Antiqua" w:cs="Tahoma"/>
        </w:rPr>
        <w:t xml:space="preserve">Le 28 mai 2025, une décision de modification de l’accord de subvention </w:t>
      </w:r>
      <w:r w:rsidR="00B3688E">
        <w:rPr>
          <w:rFonts w:ascii="Book Antiqua" w:hAnsi="Book Antiqua" w:cs="Tahoma"/>
        </w:rPr>
        <w:t xml:space="preserve">a </w:t>
      </w:r>
      <w:r w:rsidR="00D24BD5">
        <w:rPr>
          <w:rFonts w:ascii="Book Antiqua" w:hAnsi="Book Antiqua" w:cs="Tahoma"/>
        </w:rPr>
        <w:t>porté</w:t>
      </w:r>
      <w:r w:rsidR="00B3688E">
        <w:rPr>
          <w:rFonts w:ascii="Book Antiqua" w:hAnsi="Book Antiqua" w:cs="Tahoma"/>
        </w:rPr>
        <w:t xml:space="preserve"> le montant total de la subvention </w:t>
      </w:r>
      <w:r w:rsidR="00E54D6E" w:rsidRPr="00836327">
        <w:rPr>
          <w:rFonts w:ascii="Book Antiqua" w:hAnsi="Book Antiqua" w:cs="Tahoma"/>
        </w:rPr>
        <w:t>d’un</w:t>
      </w:r>
      <w:r w:rsidR="00E54D6E">
        <w:rPr>
          <w:rFonts w:ascii="Book Antiqua" w:hAnsi="Book Antiqua" w:cs="Tahoma"/>
        </w:rPr>
        <w:t xml:space="preserve"> </w:t>
      </w:r>
      <w:r w:rsidR="00E54D6E" w:rsidRPr="00422BCF">
        <w:rPr>
          <w:rFonts w:ascii="Book Antiqua" w:hAnsi="Book Antiqua" w:cs="Tahoma"/>
        </w:rPr>
        <w:t>million</w:t>
      </w:r>
      <w:r w:rsidR="00E54D6E">
        <w:rPr>
          <w:rFonts w:ascii="Book Antiqua" w:hAnsi="Book Antiqua" w:cs="Tahoma"/>
        </w:rPr>
        <w:t xml:space="preserve"> six cent</w:t>
      </w:r>
      <w:r w:rsidR="00E54D6E" w:rsidRPr="00422BCF">
        <w:rPr>
          <w:rFonts w:ascii="Book Antiqua" w:hAnsi="Book Antiqua" w:cs="Tahoma"/>
        </w:rPr>
        <w:t xml:space="preserve"> mille (</w:t>
      </w:r>
      <w:r w:rsidR="00E54D6E" w:rsidRPr="00836327">
        <w:rPr>
          <w:rFonts w:ascii="Book Antiqua" w:hAnsi="Book Antiqua" w:cs="Tahoma"/>
        </w:rPr>
        <w:t>1 600 000</w:t>
      </w:r>
      <w:r w:rsidR="00E54D6E" w:rsidRPr="00422BCF">
        <w:rPr>
          <w:rFonts w:ascii="Book Antiqua" w:hAnsi="Book Antiqua" w:cs="Tahoma"/>
        </w:rPr>
        <w:t xml:space="preserve">) euros soit un milliard </w:t>
      </w:r>
      <w:r w:rsidR="00E54D6E">
        <w:rPr>
          <w:rFonts w:ascii="Book Antiqua" w:hAnsi="Book Antiqua" w:cs="Tahoma"/>
        </w:rPr>
        <w:t xml:space="preserve">quarante-neuf millions cinq cent </w:t>
      </w:r>
      <w:r w:rsidR="00E54D6E" w:rsidRPr="00422BCF">
        <w:rPr>
          <w:rFonts w:ascii="Book Antiqua" w:hAnsi="Book Antiqua" w:cs="Tahoma"/>
        </w:rPr>
        <w:t>tr</w:t>
      </w:r>
      <w:r w:rsidR="00E54D6E">
        <w:rPr>
          <w:rFonts w:ascii="Book Antiqua" w:hAnsi="Book Antiqua" w:cs="Tahoma"/>
        </w:rPr>
        <w:t>ente</w:t>
      </w:r>
      <w:r w:rsidR="00E54D6E" w:rsidRPr="00422BCF">
        <w:rPr>
          <w:rFonts w:ascii="Book Antiqua" w:hAnsi="Book Antiqua" w:cs="Tahoma"/>
        </w:rPr>
        <w:t xml:space="preserve"> </w:t>
      </w:r>
      <w:r w:rsidR="00E54D6E">
        <w:rPr>
          <w:rFonts w:ascii="Book Antiqua" w:hAnsi="Book Antiqua" w:cs="Tahoma"/>
        </w:rPr>
        <w:t xml:space="preserve">un mille deux </w:t>
      </w:r>
      <w:r w:rsidR="00D619F4">
        <w:rPr>
          <w:rFonts w:ascii="Book Antiqua" w:hAnsi="Book Antiqua" w:cs="Tahoma"/>
        </w:rPr>
        <w:t>cents</w:t>
      </w:r>
      <w:r w:rsidR="00E54D6E">
        <w:rPr>
          <w:rFonts w:ascii="Book Antiqua" w:hAnsi="Book Antiqua" w:cs="Tahoma"/>
        </w:rPr>
        <w:t xml:space="preserve"> </w:t>
      </w:r>
      <w:r w:rsidR="00E54D6E" w:rsidRPr="00422BCF">
        <w:rPr>
          <w:rFonts w:ascii="Book Antiqua" w:hAnsi="Book Antiqua" w:cs="Tahoma"/>
        </w:rPr>
        <w:t>francs (1</w:t>
      </w:r>
      <w:r w:rsidR="00E54D6E">
        <w:rPr>
          <w:rFonts w:ascii="Book Antiqua" w:hAnsi="Book Antiqua" w:cs="Tahoma"/>
        </w:rPr>
        <w:t> 049 531 200</w:t>
      </w:r>
      <w:r w:rsidR="00E54D6E" w:rsidRPr="00422BCF">
        <w:rPr>
          <w:rFonts w:ascii="Book Antiqua" w:hAnsi="Book Antiqua" w:cs="Tahoma"/>
        </w:rPr>
        <w:t>) F CFA</w:t>
      </w:r>
      <w:r w:rsidR="00433AFB">
        <w:rPr>
          <w:rFonts w:ascii="Book Antiqua" w:hAnsi="Book Antiqua" w:cs="Tahoma"/>
        </w:rPr>
        <w:t xml:space="preserve"> </w:t>
      </w:r>
      <w:r w:rsidR="00B3688E">
        <w:rPr>
          <w:rFonts w:ascii="Book Antiqua" w:hAnsi="Book Antiqua" w:cs="Tahoma"/>
        </w:rPr>
        <w:t xml:space="preserve">à </w:t>
      </w:r>
      <w:r w:rsidR="00C57F36">
        <w:rPr>
          <w:rFonts w:ascii="Book Antiqua" w:hAnsi="Book Antiqua" w:cs="Tahoma"/>
        </w:rPr>
        <w:t xml:space="preserve">un million neuf cent mille </w:t>
      </w:r>
      <w:r w:rsidR="00D619F4">
        <w:rPr>
          <w:rFonts w:ascii="Book Antiqua" w:hAnsi="Book Antiqua" w:cs="Tahoma"/>
        </w:rPr>
        <w:t>(</w:t>
      </w:r>
      <w:r w:rsidR="00C57F36">
        <w:rPr>
          <w:rFonts w:ascii="Book Antiqua" w:hAnsi="Book Antiqua" w:cs="Tahoma"/>
        </w:rPr>
        <w:t>1 900 000</w:t>
      </w:r>
      <w:r w:rsidR="00D619F4">
        <w:rPr>
          <w:rFonts w:ascii="Book Antiqua" w:hAnsi="Book Antiqua" w:cs="Tahoma"/>
        </w:rPr>
        <w:t>)</w:t>
      </w:r>
      <w:r w:rsidR="00C57F36">
        <w:rPr>
          <w:rFonts w:ascii="Book Antiqua" w:hAnsi="Book Antiqua" w:cs="Tahoma"/>
        </w:rPr>
        <w:t xml:space="preserve"> </w:t>
      </w:r>
      <w:r w:rsidR="00895EC1">
        <w:rPr>
          <w:rFonts w:ascii="Book Antiqua" w:hAnsi="Book Antiqua" w:cs="Tahoma"/>
        </w:rPr>
        <w:t xml:space="preserve">euros soit </w:t>
      </w:r>
      <w:r w:rsidR="00AF07D1">
        <w:rPr>
          <w:rFonts w:ascii="Book Antiqua" w:hAnsi="Book Antiqua" w:cs="Tahoma"/>
        </w:rPr>
        <w:t xml:space="preserve">un milliard deux cent </w:t>
      </w:r>
      <w:r w:rsidR="00A475E2">
        <w:rPr>
          <w:rFonts w:ascii="Book Antiqua" w:hAnsi="Book Antiqua" w:cs="Tahoma"/>
        </w:rPr>
        <w:t>quarante-six</w:t>
      </w:r>
      <w:r w:rsidR="00FB523D">
        <w:rPr>
          <w:rFonts w:ascii="Book Antiqua" w:hAnsi="Book Antiqua" w:cs="Tahoma"/>
        </w:rPr>
        <w:t xml:space="preserve"> millions </w:t>
      </w:r>
      <w:r w:rsidR="00FB523D">
        <w:rPr>
          <w:rFonts w:ascii="Book Antiqua" w:hAnsi="Book Antiqua" w:cs="Tahoma"/>
        </w:rPr>
        <w:lastRenderedPageBreak/>
        <w:t xml:space="preserve">trois cent </w:t>
      </w:r>
      <w:r w:rsidR="00A475E2">
        <w:rPr>
          <w:rFonts w:ascii="Book Antiqua" w:hAnsi="Book Antiqua" w:cs="Tahoma"/>
        </w:rPr>
        <w:t>dix-huit</w:t>
      </w:r>
      <w:r w:rsidR="00FB523D">
        <w:rPr>
          <w:rFonts w:ascii="Book Antiqua" w:hAnsi="Book Antiqua" w:cs="Tahoma"/>
        </w:rPr>
        <w:t xml:space="preserve"> </w:t>
      </w:r>
      <w:r w:rsidR="005D5F95">
        <w:rPr>
          <w:rFonts w:ascii="Book Antiqua" w:hAnsi="Book Antiqua" w:cs="Tahoma"/>
        </w:rPr>
        <w:t>mille trois</w:t>
      </w:r>
      <w:r w:rsidR="00FB523D">
        <w:rPr>
          <w:rFonts w:ascii="Book Antiqua" w:hAnsi="Book Antiqua" w:cs="Tahoma"/>
        </w:rPr>
        <w:t xml:space="preserve"> cents F CFA</w:t>
      </w:r>
      <w:r w:rsidR="00830116">
        <w:rPr>
          <w:rFonts w:ascii="Book Antiqua" w:hAnsi="Book Antiqua" w:cs="Tahoma"/>
        </w:rPr>
        <w:t xml:space="preserve">. Ceci entraine </w:t>
      </w:r>
      <w:r w:rsidR="00664686">
        <w:rPr>
          <w:rFonts w:ascii="Book Antiqua" w:hAnsi="Book Antiqua" w:cs="Tahoma"/>
        </w:rPr>
        <w:t xml:space="preserve">une augmentation </w:t>
      </w:r>
      <w:r w:rsidR="001B6E32">
        <w:rPr>
          <w:rFonts w:ascii="Book Antiqua" w:hAnsi="Book Antiqua" w:cs="Tahoma"/>
        </w:rPr>
        <w:t xml:space="preserve">de 300 000 </w:t>
      </w:r>
      <w:r w:rsidR="005D5F95">
        <w:rPr>
          <w:rFonts w:ascii="Book Antiqua" w:hAnsi="Book Antiqua" w:cs="Tahoma"/>
        </w:rPr>
        <w:t>euros</w:t>
      </w:r>
      <w:r w:rsidR="001B6E32">
        <w:rPr>
          <w:rFonts w:ascii="Book Antiqua" w:hAnsi="Book Antiqua" w:cs="Tahoma"/>
        </w:rPr>
        <w:t xml:space="preserve"> </w:t>
      </w:r>
      <w:r w:rsidR="00664686">
        <w:rPr>
          <w:rFonts w:ascii="Book Antiqua" w:hAnsi="Book Antiqua" w:cs="Tahoma"/>
        </w:rPr>
        <w:t xml:space="preserve">de </w:t>
      </w:r>
      <w:r w:rsidR="009F5F01">
        <w:rPr>
          <w:rFonts w:ascii="Book Antiqua" w:hAnsi="Book Antiqua" w:cs="Tahoma"/>
        </w:rPr>
        <w:t xml:space="preserve">subvention </w:t>
      </w:r>
      <w:r w:rsidR="001B6E32">
        <w:rPr>
          <w:rFonts w:ascii="Book Antiqua" w:hAnsi="Book Antiqua" w:cs="Tahoma"/>
        </w:rPr>
        <w:t>additionnelle</w:t>
      </w:r>
      <w:r w:rsidR="005D5F95">
        <w:rPr>
          <w:rFonts w:ascii="Book Antiqua" w:hAnsi="Book Antiqua" w:cs="Tahoma"/>
        </w:rPr>
        <w:t>.</w:t>
      </w:r>
    </w:p>
    <w:p w14:paraId="112646E3" w14:textId="6A1282CC" w:rsid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Nous présenterons dans </w:t>
      </w:r>
      <w:r w:rsidR="00E84FD4">
        <w:rPr>
          <w:rFonts w:ascii="Book Antiqua" w:hAnsi="Book Antiqua" w:cs="Tahoma"/>
        </w:rPr>
        <w:t>les lignes qui suivent</w:t>
      </w:r>
      <w:r w:rsidRPr="00836327">
        <w:rPr>
          <w:rFonts w:ascii="Book Antiqua" w:hAnsi="Book Antiqua" w:cs="Tahoma"/>
        </w:rPr>
        <w:t>, la situation des fonds reçus du</w:t>
      </w:r>
      <w:r w:rsidR="00422BCF">
        <w:rPr>
          <w:rFonts w:ascii="Book Antiqua" w:hAnsi="Book Antiqua" w:cs="Tahoma"/>
        </w:rPr>
        <w:t xml:space="preserve"> </w:t>
      </w:r>
      <w:r w:rsidRPr="00836327">
        <w:rPr>
          <w:rFonts w:ascii="Book Antiqua" w:hAnsi="Book Antiqua" w:cs="Tahoma"/>
        </w:rPr>
        <w:t>bailleurs, l</w:t>
      </w:r>
      <w:r w:rsidR="00E84FD4">
        <w:rPr>
          <w:rFonts w:ascii="Book Antiqua" w:hAnsi="Book Antiqua" w:cs="Tahoma"/>
        </w:rPr>
        <w:t>a synthèse de l’exécution</w:t>
      </w:r>
      <w:r w:rsidRPr="00836327">
        <w:rPr>
          <w:rFonts w:ascii="Book Antiqua" w:hAnsi="Book Antiqua" w:cs="Tahoma"/>
        </w:rPr>
        <w:t xml:space="preserve">, le tableau des Ressources et Emplois. </w:t>
      </w:r>
    </w:p>
    <w:p w14:paraId="79A64F43" w14:textId="77777777" w:rsidR="003C1C8C" w:rsidRPr="00836327" w:rsidRDefault="003C1C8C" w:rsidP="00836327">
      <w:pPr>
        <w:spacing w:after="160" w:line="360" w:lineRule="auto"/>
        <w:jc w:val="both"/>
        <w:rPr>
          <w:rFonts w:ascii="Book Antiqua" w:hAnsi="Book Antiqua" w:cs="Tahoma"/>
        </w:rPr>
      </w:pPr>
    </w:p>
    <w:p w14:paraId="5CD4E2CF" w14:textId="39F96721" w:rsidR="00836327" w:rsidRPr="00422BCF" w:rsidRDefault="00836327" w:rsidP="00422BCF">
      <w:pPr>
        <w:pStyle w:val="Titre1"/>
        <w:numPr>
          <w:ilvl w:val="0"/>
          <w:numId w:val="22"/>
        </w:numPr>
        <w:spacing w:line="240" w:lineRule="auto"/>
        <w:ind w:left="0" w:firstLine="0"/>
        <w:rPr>
          <w:rFonts w:ascii="Book Antiqua" w:hAnsi="Book Antiqua" w:cstheme="minorHAnsi"/>
          <w:color w:val="4472C4" w:themeColor="accent1"/>
          <w:sz w:val="22"/>
          <w:szCs w:val="22"/>
          <w:u w:val="single"/>
        </w:rPr>
      </w:pPr>
      <w:bookmarkStart w:id="7" w:name="_Toc223104664"/>
      <w:r w:rsidRPr="00422BCF">
        <w:rPr>
          <w:rFonts w:ascii="Book Antiqua" w:hAnsi="Book Antiqua" w:cstheme="minorHAnsi"/>
          <w:color w:val="4472C4" w:themeColor="accent1"/>
          <w:sz w:val="22"/>
          <w:szCs w:val="22"/>
          <w:u w:val="single"/>
        </w:rPr>
        <w:t>RECAPITULATIF DES RESOSURCES ET EMPLOIS DE 202</w:t>
      </w:r>
      <w:r w:rsidR="00A23654">
        <w:rPr>
          <w:rFonts w:ascii="Book Antiqua" w:hAnsi="Book Antiqua" w:cstheme="minorHAnsi"/>
          <w:color w:val="4472C4" w:themeColor="accent1"/>
          <w:sz w:val="22"/>
          <w:szCs w:val="22"/>
          <w:u w:val="single"/>
        </w:rPr>
        <w:t>5</w:t>
      </w:r>
      <w:bookmarkEnd w:id="7"/>
    </w:p>
    <w:p w14:paraId="5A0608E5" w14:textId="77777777" w:rsidR="00422BCF" w:rsidRPr="00422BCF" w:rsidRDefault="00422BCF" w:rsidP="00422BCF">
      <w:pPr>
        <w:jc w:val="both"/>
        <w:rPr>
          <w:rFonts w:ascii="Book Antiqua" w:hAnsi="Book Antiqua" w:cs="Tahoma"/>
          <w:sz w:val="10"/>
          <w:szCs w:val="10"/>
        </w:rPr>
      </w:pPr>
    </w:p>
    <w:p w14:paraId="6E0DFE48" w14:textId="12C1FEC7" w:rsidR="00836327" w:rsidRPr="00836327" w:rsidRDefault="00836327" w:rsidP="00836327">
      <w:pPr>
        <w:spacing w:after="160" w:line="360" w:lineRule="auto"/>
        <w:jc w:val="both"/>
        <w:rPr>
          <w:rFonts w:ascii="Book Antiqua" w:hAnsi="Book Antiqua" w:cs="Tahoma"/>
        </w:rPr>
      </w:pPr>
      <w:r w:rsidRPr="00836327">
        <w:rPr>
          <w:rFonts w:ascii="Book Antiqua" w:hAnsi="Book Antiqua" w:cs="Tahoma"/>
        </w:rPr>
        <w:t>Les fonds reçus de l’Ambassade des Pays-Bas pour la période allant du 1</w:t>
      </w:r>
      <w:r w:rsidR="00571FFE" w:rsidRPr="00571FFE">
        <w:rPr>
          <w:rFonts w:ascii="Book Antiqua" w:hAnsi="Book Antiqua" w:cs="Tahoma"/>
          <w:vertAlign w:val="superscript"/>
        </w:rPr>
        <w:t>er</w:t>
      </w:r>
      <w:r w:rsidR="00571FFE">
        <w:rPr>
          <w:rFonts w:ascii="Book Antiqua" w:hAnsi="Book Antiqua" w:cs="Tahoma"/>
        </w:rPr>
        <w:t xml:space="preserve"> janvier</w:t>
      </w:r>
      <w:r w:rsidRPr="00836327">
        <w:rPr>
          <w:rFonts w:ascii="Book Antiqua" w:hAnsi="Book Antiqua" w:cs="Tahoma"/>
        </w:rPr>
        <w:t xml:space="preserve"> au 31 décembre 202</w:t>
      </w:r>
      <w:r w:rsidR="00A23654">
        <w:rPr>
          <w:rFonts w:ascii="Book Antiqua" w:hAnsi="Book Antiqua" w:cs="Tahoma"/>
        </w:rPr>
        <w:t>5</w:t>
      </w:r>
      <w:r w:rsidRPr="00836327">
        <w:rPr>
          <w:rFonts w:ascii="Book Antiqua" w:hAnsi="Book Antiqua" w:cs="Tahoma"/>
        </w:rPr>
        <w:t xml:space="preserve"> se présente</w:t>
      </w:r>
      <w:r w:rsidR="00E84FD4">
        <w:rPr>
          <w:rFonts w:ascii="Book Antiqua" w:hAnsi="Book Antiqua" w:cs="Tahoma"/>
        </w:rPr>
        <w:t>nt</w:t>
      </w:r>
      <w:r w:rsidRPr="00836327">
        <w:rPr>
          <w:rFonts w:ascii="Book Antiqua" w:hAnsi="Book Antiqua" w:cs="Tahoma"/>
        </w:rPr>
        <w:t xml:space="preserve"> comme suit :</w:t>
      </w:r>
    </w:p>
    <w:p w14:paraId="29E0FD41" w14:textId="5B970540" w:rsidR="00836327" w:rsidRPr="00CB5139" w:rsidRDefault="00E84FD4" w:rsidP="00D12353">
      <w:pPr>
        <w:pStyle w:val="Paragraphedeliste"/>
        <w:numPr>
          <w:ilvl w:val="0"/>
          <w:numId w:val="20"/>
        </w:numPr>
        <w:spacing w:after="160" w:line="360" w:lineRule="auto"/>
        <w:jc w:val="both"/>
        <w:rPr>
          <w:rFonts w:ascii="Book Antiqua" w:hAnsi="Book Antiqua" w:cs="Tahoma"/>
        </w:rPr>
      </w:pPr>
      <w:r w:rsidRPr="00CB5139">
        <w:rPr>
          <w:rFonts w:ascii="Book Antiqua" w:hAnsi="Book Antiqua" w:cs="Tahoma"/>
        </w:rPr>
        <w:t>Total des f</w:t>
      </w:r>
      <w:r w:rsidR="00836327" w:rsidRPr="00CB5139">
        <w:rPr>
          <w:rFonts w:ascii="Book Antiqua" w:hAnsi="Book Antiqua" w:cs="Tahoma"/>
        </w:rPr>
        <w:t xml:space="preserve">onds reçus de l’Ambassade : </w:t>
      </w:r>
      <w:r w:rsidR="00210E8F" w:rsidRPr="00CB5139">
        <w:rPr>
          <w:rFonts w:ascii="Book Antiqua" w:hAnsi="Book Antiqua" w:cs="Tahoma"/>
        </w:rPr>
        <w:t>354</w:t>
      </w:r>
      <w:r w:rsidR="00CB5139" w:rsidRPr="00CB5139">
        <w:rPr>
          <w:rFonts w:ascii="Book Antiqua" w:hAnsi="Book Antiqua" w:cs="Tahoma"/>
        </w:rPr>
        <w:t xml:space="preserve"> </w:t>
      </w:r>
      <w:r w:rsidR="00210E8F" w:rsidRPr="00CB5139">
        <w:rPr>
          <w:rFonts w:ascii="Book Antiqua" w:hAnsi="Book Antiqua" w:cs="Tahoma"/>
        </w:rPr>
        <w:t>537</w:t>
      </w:r>
      <w:r w:rsidR="00836327" w:rsidRPr="00CB5139">
        <w:rPr>
          <w:rFonts w:ascii="Book Antiqua" w:hAnsi="Book Antiqua" w:cs="Tahoma"/>
        </w:rPr>
        <w:t xml:space="preserve"> EUR soit </w:t>
      </w:r>
      <w:r w:rsidR="00C81582">
        <w:rPr>
          <w:rFonts w:ascii="Book Antiqua" w:hAnsi="Book Antiqua" w:cs="Tahoma"/>
        </w:rPr>
        <w:t>232 561 027</w:t>
      </w:r>
      <w:r w:rsidR="00836327" w:rsidRPr="00CB5139">
        <w:rPr>
          <w:rFonts w:ascii="Book Antiqua" w:hAnsi="Book Antiqua" w:cs="Tahoma"/>
        </w:rPr>
        <w:t xml:space="preserve"> </w:t>
      </w:r>
      <w:r w:rsidR="00A76437" w:rsidRPr="00CB5139">
        <w:rPr>
          <w:rFonts w:ascii="Book Antiqua" w:hAnsi="Book Antiqua" w:cs="Tahoma"/>
        </w:rPr>
        <w:t>FCFA</w:t>
      </w:r>
      <w:r w:rsidR="00ED1C89" w:rsidRPr="00CB5139">
        <w:rPr>
          <w:rFonts w:ascii="Book Antiqua" w:hAnsi="Book Antiqua" w:cs="Tahoma"/>
        </w:rPr>
        <w:t>.</w:t>
      </w:r>
    </w:p>
    <w:p w14:paraId="2A47B397" w14:textId="28023A63" w:rsidR="00720BDB" w:rsidRPr="00720BDB" w:rsidRDefault="00E84FD4" w:rsidP="00720BDB">
      <w:pPr>
        <w:pStyle w:val="Paragraphedeliste"/>
        <w:numPr>
          <w:ilvl w:val="0"/>
          <w:numId w:val="20"/>
        </w:numPr>
        <w:spacing w:after="160" w:line="360" w:lineRule="auto"/>
        <w:jc w:val="both"/>
        <w:rPr>
          <w:rFonts w:ascii="Book Antiqua" w:hAnsi="Book Antiqua" w:cs="Tahoma"/>
        </w:rPr>
      </w:pPr>
      <w:r>
        <w:rPr>
          <w:rFonts w:ascii="Book Antiqua" w:hAnsi="Book Antiqua" w:cs="Tahoma"/>
        </w:rPr>
        <w:t xml:space="preserve">Le solde disponible au </w:t>
      </w:r>
      <w:r w:rsidR="006102CD">
        <w:rPr>
          <w:rFonts w:ascii="Book Antiqua" w:hAnsi="Book Antiqua" w:cs="Tahoma"/>
        </w:rPr>
        <w:t>1</w:t>
      </w:r>
      <w:r w:rsidR="006102CD" w:rsidRPr="006102CD">
        <w:rPr>
          <w:rFonts w:ascii="Book Antiqua" w:hAnsi="Book Antiqua" w:cs="Tahoma"/>
          <w:vertAlign w:val="superscript"/>
        </w:rPr>
        <w:t>er</w:t>
      </w:r>
      <w:r w:rsidR="006102CD">
        <w:rPr>
          <w:rFonts w:ascii="Book Antiqua" w:hAnsi="Book Antiqua" w:cs="Tahoma"/>
        </w:rPr>
        <w:t xml:space="preserve"> janvier </w:t>
      </w:r>
      <w:r>
        <w:rPr>
          <w:rFonts w:ascii="Book Antiqua" w:hAnsi="Book Antiqua" w:cs="Tahoma"/>
        </w:rPr>
        <w:t>202</w:t>
      </w:r>
      <w:r w:rsidR="00457D38">
        <w:rPr>
          <w:rFonts w:ascii="Book Antiqua" w:hAnsi="Book Antiqua" w:cs="Tahoma"/>
        </w:rPr>
        <w:t>5</w:t>
      </w:r>
      <w:r w:rsidR="006102CD">
        <w:rPr>
          <w:rFonts w:ascii="Book Antiqua" w:hAnsi="Book Antiqua" w:cs="Tahoma"/>
        </w:rPr>
        <w:t xml:space="preserve">, est de </w:t>
      </w:r>
      <w:r w:rsidR="00457D38">
        <w:rPr>
          <w:rFonts w:ascii="Book Antiqua" w:hAnsi="Book Antiqua" w:cs="Tahoma"/>
        </w:rPr>
        <w:t>74 500</w:t>
      </w:r>
      <w:r w:rsidR="006102CD">
        <w:rPr>
          <w:rFonts w:ascii="Book Antiqua" w:hAnsi="Book Antiqua" w:cs="Tahoma"/>
        </w:rPr>
        <w:t xml:space="preserve"> EUR soit </w:t>
      </w:r>
      <w:r w:rsidR="00FC45F9">
        <w:rPr>
          <w:rFonts w:ascii="Book Antiqua" w:hAnsi="Book Antiqua" w:cs="Tahoma"/>
        </w:rPr>
        <w:t xml:space="preserve">48 868 </w:t>
      </w:r>
      <w:r w:rsidR="00FD396A">
        <w:rPr>
          <w:rFonts w:ascii="Book Antiqua" w:hAnsi="Book Antiqua" w:cs="Tahoma"/>
        </w:rPr>
        <w:t>559</w:t>
      </w:r>
      <w:r w:rsidR="006102CD">
        <w:rPr>
          <w:rFonts w:ascii="Book Antiqua" w:hAnsi="Book Antiqua" w:cs="Tahoma"/>
        </w:rPr>
        <w:t xml:space="preserve"> FCFA</w:t>
      </w:r>
    </w:p>
    <w:p w14:paraId="372F0996" w14:textId="09C01D6B" w:rsidR="00720BDB" w:rsidRDefault="006102CD" w:rsidP="00836327">
      <w:pPr>
        <w:spacing w:after="160" w:line="360" w:lineRule="auto"/>
        <w:jc w:val="both"/>
        <w:rPr>
          <w:rFonts w:ascii="Book Antiqua" w:hAnsi="Book Antiqua" w:cs="Tahoma"/>
        </w:rPr>
      </w:pPr>
      <w:r>
        <w:rPr>
          <w:rFonts w:ascii="Book Antiqua" w:hAnsi="Book Antiqua" w:cs="Tahoma"/>
        </w:rPr>
        <w:t>Ainsi, le total des ressources disponibles pour 202</w:t>
      </w:r>
      <w:r w:rsidR="00A87CBF">
        <w:rPr>
          <w:rFonts w:ascii="Book Antiqua" w:hAnsi="Book Antiqua" w:cs="Tahoma"/>
        </w:rPr>
        <w:t>5</w:t>
      </w:r>
      <w:r>
        <w:rPr>
          <w:rFonts w:ascii="Book Antiqua" w:hAnsi="Book Antiqua" w:cs="Tahoma"/>
        </w:rPr>
        <w:t xml:space="preserve"> s’élèvent à </w:t>
      </w:r>
      <w:r w:rsidR="00D622F8">
        <w:rPr>
          <w:rFonts w:ascii="Book Antiqua" w:hAnsi="Book Antiqua" w:cs="Tahoma"/>
        </w:rPr>
        <w:t>429 037</w:t>
      </w:r>
      <w:r>
        <w:rPr>
          <w:rFonts w:ascii="Book Antiqua" w:hAnsi="Book Antiqua" w:cs="Tahoma"/>
        </w:rPr>
        <w:t xml:space="preserve"> EUR soit </w:t>
      </w:r>
      <w:r w:rsidR="00CF7C33">
        <w:rPr>
          <w:rFonts w:ascii="Book Antiqua" w:hAnsi="Book Antiqua" w:cs="Tahoma"/>
        </w:rPr>
        <w:t xml:space="preserve">281 429 </w:t>
      </w:r>
      <w:r w:rsidR="00BF059D">
        <w:rPr>
          <w:rFonts w:ascii="Book Antiqua" w:hAnsi="Book Antiqua" w:cs="Tahoma"/>
        </w:rPr>
        <w:t>586</w:t>
      </w:r>
      <w:r>
        <w:rPr>
          <w:rFonts w:ascii="Book Antiqua" w:hAnsi="Book Antiqua" w:cs="Tahoma"/>
        </w:rPr>
        <w:t xml:space="preserve"> FCFA</w:t>
      </w:r>
    </w:p>
    <w:p w14:paraId="37606C13" w14:textId="2BBA6B59" w:rsidR="00836327" w:rsidRDefault="00836327" w:rsidP="00836327">
      <w:pPr>
        <w:spacing w:after="160" w:line="360" w:lineRule="auto"/>
        <w:jc w:val="both"/>
        <w:rPr>
          <w:rFonts w:ascii="Book Antiqua" w:hAnsi="Book Antiqua" w:cs="Tahoma"/>
        </w:rPr>
      </w:pPr>
      <w:r w:rsidRPr="00836327">
        <w:rPr>
          <w:rFonts w:ascii="Book Antiqua" w:hAnsi="Book Antiqua" w:cs="Tahoma"/>
        </w:rPr>
        <w:t xml:space="preserve">Ces ressources ont permis de financer pour le compte de </w:t>
      </w:r>
      <w:r>
        <w:rPr>
          <w:rFonts w:ascii="Book Antiqua" w:hAnsi="Book Antiqua" w:cs="Tahoma"/>
        </w:rPr>
        <w:t xml:space="preserve">l’exercice </w:t>
      </w:r>
      <w:r w:rsidRPr="00836327">
        <w:rPr>
          <w:rFonts w:ascii="Book Antiqua" w:hAnsi="Book Antiqua" w:cs="Tahoma"/>
        </w:rPr>
        <w:t>202</w:t>
      </w:r>
      <w:r w:rsidR="005954D3">
        <w:rPr>
          <w:rFonts w:ascii="Book Antiqua" w:hAnsi="Book Antiqua" w:cs="Tahoma"/>
        </w:rPr>
        <w:t>5</w:t>
      </w:r>
      <w:r w:rsidRPr="00836327">
        <w:rPr>
          <w:rFonts w:ascii="Book Antiqua" w:hAnsi="Book Antiqua" w:cs="Tahoma"/>
        </w:rPr>
        <w:t>,</w:t>
      </w:r>
      <w:r>
        <w:rPr>
          <w:rFonts w:ascii="Book Antiqua" w:hAnsi="Book Antiqua" w:cs="Tahoma"/>
        </w:rPr>
        <w:t xml:space="preserve"> les dépenses </w:t>
      </w:r>
      <w:r w:rsidR="00AC30DC">
        <w:rPr>
          <w:rFonts w:ascii="Book Antiqua" w:hAnsi="Book Antiqua" w:cs="Tahoma"/>
        </w:rPr>
        <w:t xml:space="preserve">de </w:t>
      </w:r>
      <w:r w:rsidR="008A36FE">
        <w:rPr>
          <w:rFonts w:ascii="Book Antiqua" w:hAnsi="Book Antiqua" w:cs="Tahoma"/>
        </w:rPr>
        <w:t>328 045</w:t>
      </w:r>
      <w:r w:rsidR="006102CD">
        <w:rPr>
          <w:rFonts w:ascii="Book Antiqua" w:hAnsi="Book Antiqua" w:cs="Tahoma"/>
        </w:rPr>
        <w:t xml:space="preserve"> </w:t>
      </w:r>
      <w:r w:rsidRPr="00836327">
        <w:rPr>
          <w:rFonts w:ascii="Book Antiqua" w:hAnsi="Book Antiqua" w:cs="Tahoma"/>
        </w:rPr>
        <w:t xml:space="preserve">EUR soit </w:t>
      </w:r>
      <w:r w:rsidR="00464525">
        <w:rPr>
          <w:rFonts w:ascii="Book Antiqua" w:hAnsi="Book Antiqua" w:cs="Tahoma"/>
        </w:rPr>
        <w:t>215 183 646</w:t>
      </w:r>
      <w:r w:rsidRPr="00836327">
        <w:rPr>
          <w:rFonts w:ascii="Book Antiqua" w:hAnsi="Book Antiqua" w:cs="Tahoma"/>
        </w:rPr>
        <w:t xml:space="preserve"> FCFA</w:t>
      </w:r>
    </w:p>
    <w:p w14:paraId="01C2BA14" w14:textId="24CFF9A7" w:rsidR="00720BDB" w:rsidRDefault="00720BDB" w:rsidP="00720BDB">
      <w:pPr>
        <w:spacing w:after="160" w:line="360" w:lineRule="auto"/>
        <w:jc w:val="center"/>
        <w:rPr>
          <w:rFonts w:ascii="Book Antiqua" w:hAnsi="Book Antiqua" w:cs="Tahoma"/>
          <w:b/>
          <w:bCs/>
          <w:i/>
          <w:iCs/>
          <w:u w:val="single"/>
        </w:rPr>
      </w:pPr>
      <w:r w:rsidRPr="00720BDB">
        <w:rPr>
          <w:rFonts w:ascii="Book Antiqua" w:hAnsi="Book Antiqua" w:cs="Tahoma"/>
          <w:b/>
          <w:bCs/>
          <w:i/>
          <w:iCs/>
          <w:u w:val="single"/>
        </w:rPr>
        <w:t xml:space="preserve">Tableau </w:t>
      </w:r>
      <w:r w:rsidR="006860E9">
        <w:rPr>
          <w:rFonts w:ascii="Book Antiqua" w:hAnsi="Book Antiqua" w:cs="Tahoma"/>
          <w:b/>
          <w:bCs/>
          <w:i/>
          <w:iCs/>
          <w:u w:val="single"/>
        </w:rPr>
        <w:t>d’évolution de la trésorerie</w:t>
      </w:r>
      <w:r w:rsidRPr="00720BDB">
        <w:rPr>
          <w:rFonts w:ascii="Book Antiqua" w:hAnsi="Book Antiqua" w:cs="Tahoma"/>
          <w:b/>
          <w:bCs/>
          <w:i/>
          <w:iCs/>
          <w:u w:val="single"/>
        </w:rPr>
        <w:t xml:space="preserve"> 202</w:t>
      </w:r>
      <w:r w:rsidR="00E200D1">
        <w:rPr>
          <w:rFonts w:ascii="Book Antiqua" w:hAnsi="Book Antiqua" w:cs="Tahoma"/>
          <w:b/>
          <w:bCs/>
          <w:i/>
          <w:iCs/>
          <w:u w:val="single"/>
        </w:rPr>
        <w:t>5</w:t>
      </w:r>
    </w:p>
    <w:tbl>
      <w:tblPr>
        <w:tblStyle w:val="TableauGrille4-Accentuation1"/>
        <w:tblW w:w="0" w:type="auto"/>
        <w:jc w:val="center"/>
        <w:tblLook w:val="04A0" w:firstRow="1" w:lastRow="0" w:firstColumn="1" w:lastColumn="0" w:noHBand="0" w:noVBand="1"/>
      </w:tblPr>
      <w:tblGrid>
        <w:gridCol w:w="2987"/>
        <w:gridCol w:w="2209"/>
        <w:gridCol w:w="2209"/>
        <w:gridCol w:w="2083"/>
      </w:tblGrid>
      <w:tr w:rsidR="00232C00" w14:paraId="27A2017A" w14:textId="2E46B29C" w:rsidTr="00232C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tcPr>
          <w:p w14:paraId="3056E924" w14:textId="01D519FF"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Catégorie</w:t>
            </w:r>
          </w:p>
        </w:tc>
        <w:tc>
          <w:tcPr>
            <w:tcW w:w="2209" w:type="dxa"/>
          </w:tcPr>
          <w:p w14:paraId="113AD5FC" w14:textId="017015B1"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 xml:space="preserve">Montant en EUR </w:t>
            </w:r>
          </w:p>
        </w:tc>
        <w:tc>
          <w:tcPr>
            <w:tcW w:w="2209" w:type="dxa"/>
          </w:tcPr>
          <w:p w14:paraId="192FD81A" w14:textId="30B2793D"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sidRPr="00720BDB">
              <w:rPr>
                <w:rFonts w:ascii="Book Antiqua" w:hAnsi="Book Antiqua" w:cs="Tahoma"/>
                <w:i/>
                <w:iCs/>
              </w:rPr>
              <w:t xml:space="preserve">Montant en FCFA </w:t>
            </w:r>
          </w:p>
        </w:tc>
        <w:tc>
          <w:tcPr>
            <w:tcW w:w="2083" w:type="dxa"/>
          </w:tcPr>
          <w:p w14:paraId="693EE722" w14:textId="537A44F6" w:rsidR="00232C00" w:rsidRPr="00720BDB" w:rsidRDefault="00232C00" w:rsidP="0083632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i/>
                <w:iCs/>
              </w:rPr>
            </w:pPr>
            <w:r>
              <w:rPr>
                <w:rFonts w:ascii="Book Antiqua" w:hAnsi="Book Antiqua" w:cs="Tahoma"/>
                <w:i/>
                <w:iCs/>
              </w:rPr>
              <w:t xml:space="preserve">% des ressources totales </w:t>
            </w:r>
          </w:p>
        </w:tc>
      </w:tr>
      <w:tr w:rsidR="00232C00" w14:paraId="72966CF8" w14:textId="2D35F9BD"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tcPr>
          <w:p w14:paraId="0D1F73EC" w14:textId="3A60D477" w:rsidR="00232C00" w:rsidRPr="00720BDB" w:rsidRDefault="00232C00" w:rsidP="00836327">
            <w:pPr>
              <w:spacing w:after="160" w:line="360" w:lineRule="auto"/>
              <w:jc w:val="both"/>
              <w:rPr>
                <w:rFonts w:ascii="Book Antiqua" w:hAnsi="Book Antiqua" w:cs="Tahoma"/>
                <w:b w:val="0"/>
                <w:bCs w:val="0"/>
                <w:i/>
                <w:iCs/>
              </w:rPr>
            </w:pPr>
            <w:r w:rsidRPr="00720BDB">
              <w:rPr>
                <w:rFonts w:ascii="Book Antiqua" w:hAnsi="Book Antiqua" w:cs="Tahoma"/>
                <w:b w:val="0"/>
                <w:bCs w:val="0"/>
                <w:i/>
                <w:iCs/>
              </w:rPr>
              <w:t xml:space="preserve">Fonds reçu de l’Ambassade </w:t>
            </w:r>
          </w:p>
        </w:tc>
        <w:tc>
          <w:tcPr>
            <w:tcW w:w="2209" w:type="dxa"/>
          </w:tcPr>
          <w:p w14:paraId="0AAEECF8" w14:textId="4718F9C4" w:rsidR="00232C00" w:rsidRPr="00720BDB" w:rsidRDefault="00E200D1"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r>
              <w:rPr>
                <w:rFonts w:ascii="Book Antiqua" w:hAnsi="Book Antiqua" w:cs="Tahoma"/>
                <w:i/>
                <w:iCs/>
              </w:rPr>
              <w:t>354 537</w:t>
            </w:r>
            <w:r w:rsidR="00232C00" w:rsidRPr="00720BDB">
              <w:rPr>
                <w:rFonts w:ascii="Book Antiqua" w:hAnsi="Book Antiqua" w:cs="Tahoma"/>
                <w:i/>
                <w:iCs/>
              </w:rPr>
              <w:t xml:space="preserve"> EUR</w:t>
            </w:r>
          </w:p>
        </w:tc>
        <w:tc>
          <w:tcPr>
            <w:tcW w:w="2209" w:type="dxa"/>
          </w:tcPr>
          <w:p w14:paraId="73C59D77" w14:textId="303F204B" w:rsidR="00232C00" w:rsidRPr="00720BDB" w:rsidRDefault="00C1677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r>
              <w:rPr>
                <w:rFonts w:ascii="Book Antiqua" w:hAnsi="Book Antiqua" w:cs="Tahoma"/>
                <w:i/>
                <w:iCs/>
              </w:rPr>
              <w:t>232 561 027</w:t>
            </w:r>
            <w:r w:rsidR="00232C00" w:rsidRPr="00720BDB">
              <w:rPr>
                <w:rFonts w:ascii="Book Antiqua" w:hAnsi="Book Antiqua" w:cs="Tahoma"/>
                <w:i/>
                <w:iCs/>
              </w:rPr>
              <w:t xml:space="preserve"> FCFA</w:t>
            </w:r>
          </w:p>
        </w:tc>
        <w:tc>
          <w:tcPr>
            <w:tcW w:w="2083" w:type="dxa"/>
            <w:vMerge w:val="restart"/>
            <w:shd w:val="clear" w:color="auto" w:fill="C5E0B3" w:themeFill="accent6" w:themeFillTint="66"/>
          </w:tcPr>
          <w:p w14:paraId="0ABAA134" w14:textId="77777777"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i/>
                <w:iCs/>
              </w:rPr>
            </w:pPr>
          </w:p>
        </w:tc>
      </w:tr>
      <w:tr w:rsidR="00232C00" w14:paraId="5872A1C4" w14:textId="34C6FDB1" w:rsidTr="00232C00">
        <w:trPr>
          <w:jc w:val="center"/>
        </w:trPr>
        <w:tc>
          <w:tcPr>
            <w:cnfStyle w:val="001000000000" w:firstRow="0" w:lastRow="0" w:firstColumn="1" w:lastColumn="0" w:oddVBand="0" w:evenVBand="0" w:oddHBand="0" w:evenHBand="0" w:firstRowFirstColumn="0" w:firstRowLastColumn="0" w:lastRowFirstColumn="0" w:lastRowLastColumn="0"/>
            <w:tcW w:w="2987" w:type="dxa"/>
          </w:tcPr>
          <w:p w14:paraId="0FDF55D1" w14:textId="6287575E" w:rsidR="00232C00" w:rsidRPr="00720BDB" w:rsidRDefault="00232C00" w:rsidP="00836327">
            <w:pPr>
              <w:spacing w:after="160" w:line="360" w:lineRule="auto"/>
              <w:jc w:val="both"/>
              <w:rPr>
                <w:rFonts w:ascii="Book Antiqua" w:hAnsi="Book Antiqua" w:cs="Tahoma"/>
                <w:b w:val="0"/>
                <w:bCs w:val="0"/>
                <w:i/>
                <w:iCs/>
              </w:rPr>
            </w:pPr>
            <w:r w:rsidRPr="00720BDB">
              <w:rPr>
                <w:rFonts w:ascii="Book Antiqua" w:hAnsi="Book Antiqua" w:cs="Tahoma"/>
                <w:b w:val="0"/>
                <w:bCs w:val="0"/>
                <w:i/>
                <w:iCs/>
              </w:rPr>
              <w:t>Solde au 1</w:t>
            </w:r>
            <w:r w:rsidRPr="00720BDB">
              <w:rPr>
                <w:rFonts w:ascii="Book Antiqua" w:hAnsi="Book Antiqua" w:cs="Tahoma"/>
                <w:b w:val="0"/>
                <w:bCs w:val="0"/>
                <w:i/>
                <w:iCs/>
                <w:vertAlign w:val="superscript"/>
              </w:rPr>
              <w:t>er</w:t>
            </w:r>
            <w:r w:rsidRPr="00720BDB">
              <w:rPr>
                <w:rFonts w:ascii="Book Antiqua" w:hAnsi="Book Antiqua" w:cs="Tahoma"/>
                <w:b w:val="0"/>
                <w:bCs w:val="0"/>
                <w:i/>
                <w:iCs/>
              </w:rPr>
              <w:t xml:space="preserve"> Janvier 202</w:t>
            </w:r>
            <w:r w:rsidR="00C16770">
              <w:rPr>
                <w:rFonts w:ascii="Book Antiqua" w:hAnsi="Book Antiqua" w:cs="Tahoma"/>
                <w:b w:val="0"/>
                <w:bCs w:val="0"/>
                <w:i/>
                <w:iCs/>
              </w:rPr>
              <w:t>5</w:t>
            </w:r>
          </w:p>
        </w:tc>
        <w:tc>
          <w:tcPr>
            <w:tcW w:w="2209" w:type="dxa"/>
          </w:tcPr>
          <w:p w14:paraId="05EBDFD0" w14:textId="430EDE18" w:rsidR="00232C00" w:rsidRPr="00720BDB" w:rsidRDefault="00C1677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r>
              <w:rPr>
                <w:rFonts w:ascii="Book Antiqua" w:hAnsi="Book Antiqua" w:cs="Tahoma"/>
                <w:i/>
                <w:iCs/>
              </w:rPr>
              <w:t>74 500</w:t>
            </w:r>
            <w:r w:rsidR="00232C00" w:rsidRPr="00720BDB">
              <w:rPr>
                <w:rFonts w:ascii="Book Antiqua" w:hAnsi="Book Antiqua" w:cs="Tahoma"/>
                <w:i/>
                <w:iCs/>
              </w:rPr>
              <w:t xml:space="preserve"> EUR</w:t>
            </w:r>
          </w:p>
        </w:tc>
        <w:tc>
          <w:tcPr>
            <w:tcW w:w="2209" w:type="dxa"/>
          </w:tcPr>
          <w:p w14:paraId="44F5DA78" w14:textId="4BDEC757" w:rsidR="00232C00" w:rsidRPr="00720BDB" w:rsidRDefault="006E7523"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r>
              <w:rPr>
                <w:rFonts w:ascii="Book Antiqua" w:hAnsi="Book Antiqua" w:cs="Tahoma"/>
                <w:i/>
                <w:iCs/>
              </w:rPr>
              <w:t xml:space="preserve">48 868 </w:t>
            </w:r>
            <w:r w:rsidR="00BE1CA5">
              <w:rPr>
                <w:rFonts w:ascii="Book Antiqua" w:hAnsi="Book Antiqua" w:cs="Tahoma"/>
                <w:i/>
                <w:iCs/>
              </w:rPr>
              <w:t>559</w:t>
            </w:r>
            <w:r w:rsidR="00232C00" w:rsidRPr="00720BDB">
              <w:rPr>
                <w:rFonts w:ascii="Book Antiqua" w:hAnsi="Book Antiqua" w:cs="Tahoma"/>
                <w:i/>
                <w:iCs/>
              </w:rPr>
              <w:t xml:space="preserve"> FCFA</w:t>
            </w:r>
          </w:p>
        </w:tc>
        <w:tc>
          <w:tcPr>
            <w:tcW w:w="2083" w:type="dxa"/>
            <w:vMerge/>
            <w:shd w:val="clear" w:color="auto" w:fill="C5E0B3" w:themeFill="accent6" w:themeFillTint="66"/>
          </w:tcPr>
          <w:p w14:paraId="50FF32CF" w14:textId="77777777" w:rsidR="00232C00" w:rsidRPr="00720BDB" w:rsidRDefault="00232C0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i/>
                <w:iCs/>
              </w:rPr>
            </w:pPr>
          </w:p>
        </w:tc>
      </w:tr>
      <w:tr w:rsidR="00232C00" w14:paraId="64B074DD" w14:textId="694D2249"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E2EFD9" w:themeFill="accent6" w:themeFillTint="33"/>
          </w:tcPr>
          <w:p w14:paraId="40B4D151" w14:textId="35B7302D"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 xml:space="preserve">Total des Ressources </w:t>
            </w:r>
          </w:p>
        </w:tc>
        <w:tc>
          <w:tcPr>
            <w:tcW w:w="2209" w:type="dxa"/>
            <w:shd w:val="clear" w:color="auto" w:fill="E2EFD9" w:themeFill="accent6" w:themeFillTint="33"/>
          </w:tcPr>
          <w:p w14:paraId="73CEE697" w14:textId="4EFB95A5" w:rsidR="00232C00" w:rsidRDefault="00F06394"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429 037</w:t>
            </w:r>
            <w:r w:rsidR="00232C00" w:rsidRPr="00720BDB">
              <w:rPr>
                <w:rFonts w:ascii="Book Antiqua" w:hAnsi="Book Antiqua" w:cs="Tahoma"/>
                <w:b/>
                <w:bCs/>
                <w:i/>
                <w:iCs/>
                <w:u w:val="single"/>
              </w:rPr>
              <w:t xml:space="preserve"> EUR</w:t>
            </w:r>
          </w:p>
        </w:tc>
        <w:tc>
          <w:tcPr>
            <w:tcW w:w="2209" w:type="dxa"/>
            <w:shd w:val="clear" w:color="auto" w:fill="E2EFD9" w:themeFill="accent6" w:themeFillTint="33"/>
          </w:tcPr>
          <w:p w14:paraId="63712AB6" w14:textId="4557DB34" w:rsidR="00232C00" w:rsidRDefault="00B800C5"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 xml:space="preserve">281 429 </w:t>
            </w:r>
            <w:r w:rsidR="00BE1CA5">
              <w:rPr>
                <w:rFonts w:ascii="Book Antiqua" w:hAnsi="Book Antiqua" w:cs="Tahoma"/>
                <w:b/>
                <w:bCs/>
                <w:i/>
                <w:iCs/>
                <w:u w:val="single"/>
              </w:rPr>
              <w:t>586</w:t>
            </w:r>
            <w:r w:rsidR="00232C00" w:rsidRPr="00720BDB">
              <w:rPr>
                <w:rFonts w:ascii="Book Antiqua" w:hAnsi="Book Antiqua" w:cs="Tahoma"/>
                <w:b/>
                <w:bCs/>
                <w:i/>
                <w:iCs/>
                <w:u w:val="single"/>
              </w:rPr>
              <w:t xml:space="preserve"> FCFA</w:t>
            </w:r>
          </w:p>
        </w:tc>
        <w:tc>
          <w:tcPr>
            <w:tcW w:w="2083" w:type="dxa"/>
            <w:shd w:val="clear" w:color="auto" w:fill="E2EFD9" w:themeFill="accent6" w:themeFillTint="33"/>
          </w:tcPr>
          <w:p w14:paraId="4F294AB9" w14:textId="775BCD1A" w:rsidR="00232C00" w:rsidRPr="00720BDB" w:rsidRDefault="00232C00"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100%</w:t>
            </w:r>
          </w:p>
        </w:tc>
      </w:tr>
      <w:tr w:rsidR="00232C00" w14:paraId="36020804" w14:textId="7E246CE0" w:rsidTr="00232C00">
        <w:trPr>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FBE4D5" w:themeFill="accent2" w:themeFillTint="33"/>
          </w:tcPr>
          <w:p w14:paraId="214D16DD" w14:textId="09D38513" w:rsidR="00232C00" w:rsidRPr="00720BDB" w:rsidRDefault="00232C00" w:rsidP="00836327">
            <w:pPr>
              <w:spacing w:after="160" w:line="360" w:lineRule="auto"/>
              <w:jc w:val="both"/>
              <w:rPr>
                <w:rFonts w:ascii="Book Antiqua" w:hAnsi="Book Antiqua" w:cs="Tahoma"/>
                <w:i/>
                <w:iCs/>
              </w:rPr>
            </w:pPr>
            <w:r w:rsidRPr="00720BDB">
              <w:rPr>
                <w:rFonts w:ascii="Book Antiqua" w:hAnsi="Book Antiqua" w:cs="Tahoma"/>
                <w:i/>
                <w:iCs/>
              </w:rPr>
              <w:t xml:space="preserve">Total des dépenses </w:t>
            </w:r>
          </w:p>
        </w:tc>
        <w:tc>
          <w:tcPr>
            <w:tcW w:w="2209" w:type="dxa"/>
            <w:shd w:val="clear" w:color="auto" w:fill="FBE4D5" w:themeFill="accent2" w:themeFillTint="33"/>
          </w:tcPr>
          <w:p w14:paraId="2572DAB4" w14:textId="59A61BB8" w:rsidR="00232C00" w:rsidRDefault="005A0EDB"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328 045</w:t>
            </w:r>
            <w:r w:rsidR="00232C00" w:rsidRPr="00720BDB">
              <w:rPr>
                <w:rFonts w:ascii="Book Antiqua" w:hAnsi="Book Antiqua" w:cs="Tahoma"/>
                <w:b/>
                <w:bCs/>
                <w:i/>
                <w:iCs/>
                <w:u w:val="single"/>
              </w:rPr>
              <w:t xml:space="preserve"> EUR</w:t>
            </w:r>
          </w:p>
        </w:tc>
        <w:tc>
          <w:tcPr>
            <w:tcW w:w="2209" w:type="dxa"/>
            <w:shd w:val="clear" w:color="auto" w:fill="FBE4D5" w:themeFill="accent2" w:themeFillTint="33"/>
          </w:tcPr>
          <w:p w14:paraId="423CEAA1" w14:textId="73EDA52B" w:rsidR="00232C00" w:rsidRDefault="005A0EDB"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215 183</w:t>
            </w:r>
            <w:r w:rsidR="006B0FB7">
              <w:rPr>
                <w:rFonts w:ascii="Book Antiqua" w:hAnsi="Book Antiqua" w:cs="Tahoma"/>
                <w:b/>
                <w:bCs/>
                <w:i/>
                <w:iCs/>
                <w:u w:val="single"/>
              </w:rPr>
              <w:t xml:space="preserve"> 646</w:t>
            </w:r>
            <w:r w:rsidR="00232C00" w:rsidRPr="00720BDB">
              <w:rPr>
                <w:rFonts w:ascii="Book Antiqua" w:hAnsi="Book Antiqua" w:cs="Tahoma"/>
                <w:b/>
                <w:bCs/>
                <w:i/>
                <w:iCs/>
                <w:u w:val="single"/>
              </w:rPr>
              <w:t xml:space="preserve"> FCFA</w:t>
            </w:r>
          </w:p>
        </w:tc>
        <w:tc>
          <w:tcPr>
            <w:tcW w:w="2083" w:type="dxa"/>
            <w:shd w:val="clear" w:color="auto" w:fill="FBE4D5" w:themeFill="accent2" w:themeFillTint="33"/>
          </w:tcPr>
          <w:p w14:paraId="5671CD20" w14:textId="4EFBEEBD" w:rsidR="00232C00" w:rsidRPr="00720BDB" w:rsidRDefault="00DE1890" w:rsidP="0083632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76,4</w:t>
            </w:r>
            <w:r w:rsidR="00627F61">
              <w:rPr>
                <w:rFonts w:ascii="Book Antiqua" w:hAnsi="Book Antiqua" w:cs="Tahoma"/>
                <w:b/>
                <w:bCs/>
                <w:i/>
                <w:iCs/>
                <w:u w:val="single"/>
              </w:rPr>
              <w:t>7</w:t>
            </w:r>
            <w:r w:rsidR="00232C00">
              <w:rPr>
                <w:rFonts w:ascii="Book Antiqua" w:hAnsi="Book Antiqua" w:cs="Tahoma"/>
                <w:b/>
                <w:bCs/>
                <w:i/>
                <w:iCs/>
                <w:u w:val="single"/>
              </w:rPr>
              <w:t>%</w:t>
            </w:r>
          </w:p>
        </w:tc>
      </w:tr>
      <w:tr w:rsidR="00232C00" w14:paraId="21C1FE85" w14:textId="77777777" w:rsidTr="00232C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7" w:type="dxa"/>
            <w:shd w:val="clear" w:color="auto" w:fill="FFC000" w:themeFill="accent4"/>
          </w:tcPr>
          <w:p w14:paraId="037C20FE" w14:textId="14CC63CD" w:rsidR="00232C00" w:rsidRPr="00720BDB" w:rsidRDefault="00232C00" w:rsidP="00836327">
            <w:pPr>
              <w:spacing w:after="160" w:line="360" w:lineRule="auto"/>
              <w:jc w:val="both"/>
              <w:rPr>
                <w:rFonts w:ascii="Book Antiqua" w:hAnsi="Book Antiqua" w:cs="Tahoma"/>
                <w:i/>
                <w:iCs/>
              </w:rPr>
            </w:pPr>
            <w:r>
              <w:rPr>
                <w:rFonts w:ascii="Book Antiqua" w:hAnsi="Book Antiqua" w:cs="Tahoma"/>
                <w:i/>
                <w:iCs/>
              </w:rPr>
              <w:t xml:space="preserve">Solde Restant </w:t>
            </w:r>
          </w:p>
        </w:tc>
        <w:tc>
          <w:tcPr>
            <w:tcW w:w="2209" w:type="dxa"/>
            <w:shd w:val="clear" w:color="auto" w:fill="FFC000" w:themeFill="accent4"/>
          </w:tcPr>
          <w:p w14:paraId="4C0A57FC" w14:textId="715E411E" w:rsidR="00232C00" w:rsidRPr="00720BDB" w:rsidRDefault="00956241"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100 99</w:t>
            </w:r>
            <w:r w:rsidR="00CF55B3">
              <w:rPr>
                <w:rFonts w:ascii="Book Antiqua" w:hAnsi="Book Antiqua" w:cs="Tahoma"/>
                <w:b/>
                <w:bCs/>
                <w:i/>
                <w:iCs/>
                <w:u w:val="single"/>
              </w:rPr>
              <w:t>1</w:t>
            </w:r>
            <w:r w:rsidR="00232C00">
              <w:rPr>
                <w:rFonts w:ascii="Book Antiqua" w:hAnsi="Book Antiqua" w:cs="Tahoma"/>
                <w:b/>
                <w:bCs/>
                <w:i/>
                <w:iCs/>
                <w:u w:val="single"/>
              </w:rPr>
              <w:t xml:space="preserve"> EUR</w:t>
            </w:r>
          </w:p>
        </w:tc>
        <w:tc>
          <w:tcPr>
            <w:tcW w:w="2209" w:type="dxa"/>
            <w:shd w:val="clear" w:color="auto" w:fill="FFC000" w:themeFill="accent4"/>
          </w:tcPr>
          <w:p w14:paraId="43DE42BA" w14:textId="19C7E868" w:rsidR="00232C00" w:rsidRPr="00720BDB" w:rsidRDefault="00956241"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66 24</w:t>
            </w:r>
            <w:r w:rsidR="00A15E29">
              <w:rPr>
                <w:rFonts w:ascii="Book Antiqua" w:hAnsi="Book Antiqua" w:cs="Tahoma"/>
                <w:b/>
                <w:bCs/>
                <w:i/>
                <w:iCs/>
                <w:u w:val="single"/>
              </w:rPr>
              <w:t>5</w:t>
            </w:r>
            <w:r w:rsidR="00F117C7">
              <w:rPr>
                <w:rFonts w:ascii="Book Antiqua" w:hAnsi="Book Antiqua" w:cs="Tahoma"/>
                <w:b/>
                <w:bCs/>
                <w:i/>
                <w:iCs/>
                <w:u w:val="single"/>
              </w:rPr>
              <w:t xml:space="preserve"> </w:t>
            </w:r>
            <w:r w:rsidR="00A15E29">
              <w:rPr>
                <w:rFonts w:ascii="Book Antiqua" w:hAnsi="Book Antiqua" w:cs="Tahoma"/>
                <w:b/>
                <w:bCs/>
                <w:i/>
                <w:iCs/>
                <w:u w:val="single"/>
              </w:rPr>
              <w:t>940</w:t>
            </w:r>
            <w:r w:rsidR="00232C00">
              <w:rPr>
                <w:rFonts w:ascii="Book Antiqua" w:hAnsi="Book Antiqua" w:cs="Tahoma"/>
                <w:b/>
                <w:bCs/>
                <w:i/>
                <w:iCs/>
                <w:u w:val="single"/>
              </w:rPr>
              <w:t xml:space="preserve"> FCFA</w:t>
            </w:r>
          </w:p>
        </w:tc>
        <w:tc>
          <w:tcPr>
            <w:tcW w:w="2083" w:type="dxa"/>
            <w:shd w:val="clear" w:color="auto" w:fill="FFC000" w:themeFill="accent4"/>
          </w:tcPr>
          <w:p w14:paraId="40B2ADCA" w14:textId="4E0551C2" w:rsidR="00232C00" w:rsidRPr="00720BDB" w:rsidRDefault="00377E8A" w:rsidP="0083632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b/>
                <w:bCs/>
                <w:i/>
                <w:iCs/>
                <w:u w:val="single"/>
              </w:rPr>
            </w:pPr>
            <w:r>
              <w:rPr>
                <w:rFonts w:ascii="Book Antiqua" w:hAnsi="Book Antiqua" w:cs="Tahoma"/>
                <w:b/>
                <w:bCs/>
                <w:i/>
                <w:iCs/>
                <w:u w:val="single"/>
              </w:rPr>
              <w:t>23,5</w:t>
            </w:r>
            <w:r w:rsidR="00413DAA">
              <w:rPr>
                <w:rFonts w:ascii="Book Antiqua" w:hAnsi="Book Antiqua" w:cs="Tahoma"/>
                <w:b/>
                <w:bCs/>
                <w:i/>
                <w:iCs/>
                <w:u w:val="single"/>
              </w:rPr>
              <w:t>3</w:t>
            </w:r>
            <w:r w:rsidR="00232C00">
              <w:rPr>
                <w:rFonts w:ascii="Book Antiqua" w:hAnsi="Book Antiqua" w:cs="Tahoma"/>
                <w:b/>
                <w:bCs/>
                <w:i/>
                <w:iCs/>
                <w:u w:val="single"/>
              </w:rPr>
              <w:t>%</w:t>
            </w:r>
          </w:p>
        </w:tc>
      </w:tr>
    </w:tbl>
    <w:p w14:paraId="6845D34D" w14:textId="77777777" w:rsidR="00421176" w:rsidRDefault="00421176" w:rsidP="00836327">
      <w:pPr>
        <w:spacing w:after="160" w:line="360" w:lineRule="auto"/>
        <w:jc w:val="both"/>
        <w:rPr>
          <w:rFonts w:ascii="Book Antiqua" w:hAnsi="Book Antiqua" w:cs="Tahoma"/>
          <w:b/>
          <w:bCs/>
          <w:i/>
          <w:iCs/>
          <w:u w:val="single"/>
        </w:rPr>
      </w:pPr>
    </w:p>
    <w:p w14:paraId="6E0554AF" w14:textId="77777777" w:rsidR="00421176" w:rsidRDefault="00421176" w:rsidP="00836327">
      <w:pPr>
        <w:spacing w:after="160" w:line="360" w:lineRule="auto"/>
        <w:jc w:val="both"/>
        <w:rPr>
          <w:rFonts w:ascii="Book Antiqua" w:hAnsi="Book Antiqua" w:cs="Tahoma"/>
          <w:b/>
          <w:bCs/>
          <w:i/>
          <w:iCs/>
          <w:u w:val="single"/>
        </w:rPr>
      </w:pPr>
    </w:p>
    <w:p w14:paraId="460B0486" w14:textId="77777777" w:rsidR="00421176" w:rsidRDefault="00421176" w:rsidP="00836327">
      <w:pPr>
        <w:spacing w:after="160" w:line="360" w:lineRule="auto"/>
        <w:jc w:val="both"/>
        <w:rPr>
          <w:rFonts w:ascii="Book Antiqua" w:hAnsi="Book Antiqua" w:cs="Tahoma"/>
          <w:b/>
          <w:bCs/>
          <w:i/>
          <w:iCs/>
          <w:u w:val="single"/>
        </w:rPr>
      </w:pPr>
    </w:p>
    <w:p w14:paraId="74D78791" w14:textId="19C3797D" w:rsidR="00421176" w:rsidRDefault="00421176" w:rsidP="00836327">
      <w:pPr>
        <w:spacing w:after="160" w:line="360" w:lineRule="auto"/>
        <w:jc w:val="both"/>
        <w:rPr>
          <w:rFonts w:ascii="Book Antiqua" w:hAnsi="Book Antiqua" w:cs="Tahoma"/>
          <w:b/>
          <w:bCs/>
          <w:i/>
          <w:iCs/>
          <w:u w:val="single"/>
        </w:rPr>
      </w:pPr>
      <w:r w:rsidRPr="00421176">
        <w:rPr>
          <w:rFonts w:ascii="Book Antiqua" w:hAnsi="Book Antiqua" w:cs="Tahoma"/>
          <w:b/>
          <w:bCs/>
          <w:i/>
          <w:iCs/>
          <w:u w:val="single"/>
        </w:rPr>
        <w:t>GRAPHIQUE 1 : STRUCTURE DES RESSOURCES 2025</w:t>
      </w:r>
    </w:p>
    <w:p w14:paraId="2F162AE9" w14:textId="66E9C789" w:rsidR="00421176" w:rsidRDefault="00CD2D0E" w:rsidP="00836327">
      <w:pPr>
        <w:spacing w:after="160" w:line="360" w:lineRule="auto"/>
        <w:jc w:val="both"/>
        <w:rPr>
          <w:rFonts w:ascii="Book Antiqua" w:hAnsi="Book Antiqua" w:cs="Tahoma"/>
          <w:b/>
          <w:bCs/>
          <w:i/>
          <w:iCs/>
          <w:u w:val="single"/>
        </w:rPr>
      </w:pPr>
      <w:r>
        <w:rPr>
          <w:noProof/>
        </w:rPr>
        <w:drawing>
          <wp:inline distT="0" distB="0" distL="0" distR="0" wp14:anchorId="3198BF91" wp14:editId="59BCBEC6">
            <wp:extent cx="4572000" cy="2743200"/>
            <wp:effectExtent l="0" t="0" r="0" b="0"/>
            <wp:docPr id="33260116" name="Graphique 1">
              <a:extLst xmlns:a="http://schemas.openxmlformats.org/drawingml/2006/main">
                <a:ext uri="{FF2B5EF4-FFF2-40B4-BE49-F238E27FC236}">
                  <a16:creationId xmlns:a16="http://schemas.microsoft.com/office/drawing/2014/main" id="{BF71250F-32FD-953E-DF94-1E90E093C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CA64F5" w14:textId="750E9570" w:rsidR="00421176" w:rsidRDefault="00022404" w:rsidP="00022404">
      <w:pPr>
        <w:spacing w:line="360" w:lineRule="auto"/>
        <w:jc w:val="both"/>
        <w:rPr>
          <w:rFonts w:ascii="Book Antiqua" w:hAnsi="Book Antiqua" w:cs="Tahoma"/>
          <w:b/>
          <w:bCs/>
          <w:i/>
          <w:iCs/>
          <w:u w:val="single"/>
        </w:rPr>
      </w:pPr>
      <w:r>
        <w:rPr>
          <w:rFonts w:ascii="Book Antiqua" w:hAnsi="Book Antiqua" w:cs="Tahoma"/>
          <w:b/>
          <w:bCs/>
          <w:i/>
          <w:iCs/>
          <w:u w:val="single"/>
        </w:rPr>
        <w:t>Source : Données financières RAPPID 2025</w:t>
      </w:r>
    </w:p>
    <w:p w14:paraId="532808B3" w14:textId="77777777" w:rsidR="00F21407" w:rsidRPr="00F21407" w:rsidRDefault="00F21407" w:rsidP="00F21407">
      <w:pPr>
        <w:spacing w:after="160" w:line="360" w:lineRule="auto"/>
        <w:jc w:val="both"/>
        <w:rPr>
          <w:rFonts w:ascii="Book Antiqua" w:hAnsi="Book Antiqua" w:cs="Tahoma"/>
        </w:rPr>
      </w:pPr>
      <w:r w:rsidRPr="00F21407">
        <w:rPr>
          <w:rFonts w:ascii="Book Antiqua" w:hAnsi="Book Antiqua" w:cs="Tahoma"/>
        </w:rPr>
        <w:t>L’analyse de la structure des ressources disponibles pour l’exercice 2025 montre que le programme RAPPID a mobilisé un total de 429 037 EUR, dont :</w:t>
      </w:r>
    </w:p>
    <w:p w14:paraId="41E2AB92" w14:textId="77777777" w:rsidR="00F21407" w:rsidRPr="00F21407" w:rsidRDefault="00F21407" w:rsidP="00F21407">
      <w:pPr>
        <w:numPr>
          <w:ilvl w:val="0"/>
          <w:numId w:val="23"/>
        </w:numPr>
        <w:spacing w:after="160" w:line="360" w:lineRule="auto"/>
        <w:jc w:val="both"/>
        <w:rPr>
          <w:rFonts w:ascii="Book Antiqua" w:hAnsi="Book Antiqua" w:cs="Tahoma"/>
        </w:rPr>
      </w:pPr>
      <w:r w:rsidRPr="00F21407">
        <w:rPr>
          <w:rFonts w:ascii="Book Antiqua" w:hAnsi="Book Antiqua" w:cs="Tahoma"/>
        </w:rPr>
        <w:t>354 537 EUR (82,6%) proviennent des fonds reçus de l’Ambassade des Pays-Bas ;</w:t>
      </w:r>
    </w:p>
    <w:p w14:paraId="2FDCD323" w14:textId="77777777" w:rsidR="00F21407" w:rsidRPr="00F21407" w:rsidRDefault="00F21407" w:rsidP="00F21407">
      <w:pPr>
        <w:numPr>
          <w:ilvl w:val="0"/>
          <w:numId w:val="23"/>
        </w:numPr>
        <w:spacing w:after="160" w:line="360" w:lineRule="auto"/>
        <w:jc w:val="both"/>
        <w:rPr>
          <w:rFonts w:ascii="Book Antiqua" w:hAnsi="Book Antiqua" w:cs="Tahoma"/>
        </w:rPr>
      </w:pPr>
      <w:r w:rsidRPr="00F21407">
        <w:rPr>
          <w:rFonts w:ascii="Book Antiqua" w:hAnsi="Book Antiqua" w:cs="Tahoma"/>
        </w:rPr>
        <w:t>74 500 EUR (17,4%) correspondent au solde reporté au 1er janvier 2025.</w:t>
      </w:r>
    </w:p>
    <w:p w14:paraId="459CAA0D" w14:textId="77777777" w:rsidR="00F21407" w:rsidRPr="00F21407" w:rsidRDefault="00F21407" w:rsidP="00F21407">
      <w:pPr>
        <w:spacing w:after="160" w:line="360" w:lineRule="auto"/>
        <w:jc w:val="both"/>
        <w:rPr>
          <w:rFonts w:ascii="Book Antiqua" w:hAnsi="Book Antiqua" w:cs="Tahoma"/>
        </w:rPr>
      </w:pPr>
      <w:r w:rsidRPr="00F21407">
        <w:rPr>
          <w:rFonts w:ascii="Book Antiqua" w:hAnsi="Book Antiqua" w:cs="Tahoma"/>
        </w:rPr>
        <w:t>Cette répartition indique une forte dépendance au financement du bailleur, ce qui est normal dans le cadre d’un programme financé sur subvention. Toutefois, la présence d’un solde initial non négligeable traduit une gestion prudente de l’exercice précédent, permettant d’assurer une continuité financière en début d’année.</w:t>
      </w:r>
    </w:p>
    <w:p w14:paraId="26348160" w14:textId="77777777" w:rsidR="00F21407" w:rsidRPr="00F21407" w:rsidRDefault="00F21407" w:rsidP="00F21407">
      <w:pPr>
        <w:spacing w:after="160" w:line="360" w:lineRule="auto"/>
        <w:jc w:val="both"/>
        <w:rPr>
          <w:rFonts w:ascii="Book Antiqua" w:hAnsi="Book Antiqua" w:cs="Tahoma"/>
        </w:rPr>
      </w:pPr>
      <w:r w:rsidRPr="00F21407">
        <w:rPr>
          <w:rFonts w:ascii="Book Antiqua" w:hAnsi="Book Antiqua" w:cs="Tahoma"/>
        </w:rPr>
        <w:t>La structure des ressources montre donc :</w:t>
      </w:r>
    </w:p>
    <w:p w14:paraId="475412BF" w14:textId="77777777" w:rsidR="00F21407" w:rsidRPr="00F21407" w:rsidRDefault="00F21407" w:rsidP="00F21407">
      <w:pPr>
        <w:numPr>
          <w:ilvl w:val="0"/>
          <w:numId w:val="24"/>
        </w:numPr>
        <w:spacing w:after="160" w:line="360" w:lineRule="auto"/>
        <w:jc w:val="both"/>
        <w:rPr>
          <w:rFonts w:ascii="Book Antiqua" w:hAnsi="Book Antiqua" w:cs="Tahoma"/>
        </w:rPr>
      </w:pPr>
      <w:r w:rsidRPr="00F21407">
        <w:rPr>
          <w:rFonts w:ascii="Book Antiqua" w:hAnsi="Book Antiqua" w:cs="Tahoma"/>
        </w:rPr>
        <w:t>Une mobilisation efficace des fonds prévus ;</w:t>
      </w:r>
    </w:p>
    <w:p w14:paraId="7F5FFF2D" w14:textId="77777777" w:rsidR="00F21407" w:rsidRPr="00F21407" w:rsidRDefault="00F21407" w:rsidP="00F21407">
      <w:pPr>
        <w:numPr>
          <w:ilvl w:val="0"/>
          <w:numId w:val="24"/>
        </w:numPr>
        <w:spacing w:after="160" w:line="360" w:lineRule="auto"/>
        <w:jc w:val="both"/>
        <w:rPr>
          <w:rFonts w:ascii="Book Antiqua" w:hAnsi="Book Antiqua" w:cs="Tahoma"/>
        </w:rPr>
      </w:pPr>
      <w:r w:rsidRPr="00F21407">
        <w:rPr>
          <w:rFonts w:ascii="Book Antiqua" w:hAnsi="Book Antiqua" w:cs="Tahoma"/>
        </w:rPr>
        <w:t>Une bonne continuité budgétaire entre les exercices.</w:t>
      </w:r>
    </w:p>
    <w:p w14:paraId="3F9E6BDB" w14:textId="77777777" w:rsidR="00421176" w:rsidRPr="00F21407" w:rsidRDefault="00421176" w:rsidP="00836327">
      <w:pPr>
        <w:spacing w:after="160" w:line="360" w:lineRule="auto"/>
        <w:jc w:val="both"/>
        <w:rPr>
          <w:rFonts w:ascii="Book Antiqua" w:hAnsi="Book Antiqua" w:cs="Tahoma"/>
          <w:b/>
          <w:bCs/>
          <w:i/>
          <w:iCs/>
          <w:u w:val="single"/>
        </w:rPr>
      </w:pPr>
    </w:p>
    <w:p w14:paraId="7D87D2F8" w14:textId="77777777" w:rsidR="00421176" w:rsidRDefault="00421176" w:rsidP="00836327">
      <w:pPr>
        <w:spacing w:after="160" w:line="360" w:lineRule="auto"/>
        <w:jc w:val="both"/>
        <w:rPr>
          <w:rFonts w:ascii="Book Antiqua" w:hAnsi="Book Antiqua" w:cs="Tahoma"/>
          <w:b/>
          <w:bCs/>
          <w:i/>
          <w:iCs/>
          <w:u w:val="single"/>
        </w:rPr>
      </w:pPr>
    </w:p>
    <w:p w14:paraId="6F27BCCA" w14:textId="77777777" w:rsidR="00421176" w:rsidRDefault="00421176" w:rsidP="00836327">
      <w:pPr>
        <w:spacing w:after="160" w:line="360" w:lineRule="auto"/>
        <w:jc w:val="both"/>
        <w:rPr>
          <w:rFonts w:ascii="Book Antiqua" w:hAnsi="Book Antiqua" w:cs="Tahoma"/>
          <w:b/>
          <w:bCs/>
          <w:i/>
          <w:iCs/>
          <w:u w:val="single"/>
        </w:rPr>
      </w:pPr>
    </w:p>
    <w:p w14:paraId="43D0736B" w14:textId="6289A6C2" w:rsidR="00421176" w:rsidRDefault="000C6321" w:rsidP="00836327">
      <w:pPr>
        <w:spacing w:after="160" w:line="360" w:lineRule="auto"/>
        <w:jc w:val="both"/>
        <w:rPr>
          <w:rFonts w:ascii="Book Antiqua" w:hAnsi="Book Antiqua" w:cs="Tahoma"/>
          <w:b/>
          <w:bCs/>
          <w:i/>
          <w:iCs/>
          <w:u w:val="single"/>
        </w:rPr>
      </w:pPr>
      <w:r w:rsidRPr="000C6321">
        <w:rPr>
          <w:rFonts w:ascii="Book Antiqua" w:hAnsi="Book Antiqua" w:cs="Tahoma"/>
          <w:b/>
          <w:bCs/>
          <w:i/>
          <w:iCs/>
          <w:u w:val="single"/>
        </w:rPr>
        <w:t xml:space="preserve">GRAPHIQUE 2 : </w:t>
      </w:r>
      <w:r w:rsidR="000441E4">
        <w:rPr>
          <w:rFonts w:ascii="Book Antiqua" w:hAnsi="Book Antiqua" w:cs="Tahoma"/>
          <w:b/>
          <w:bCs/>
          <w:i/>
          <w:iCs/>
          <w:u w:val="single"/>
        </w:rPr>
        <w:t xml:space="preserve">GRAPHE </w:t>
      </w:r>
      <w:r w:rsidR="000441E4" w:rsidRPr="000C6321">
        <w:rPr>
          <w:rFonts w:ascii="Book Antiqua" w:hAnsi="Book Antiqua" w:cs="Tahoma"/>
          <w:b/>
          <w:bCs/>
          <w:i/>
          <w:iCs/>
          <w:u w:val="single"/>
        </w:rPr>
        <w:t>D’EXÉCUTION</w:t>
      </w:r>
      <w:r w:rsidRPr="000C6321">
        <w:rPr>
          <w:rFonts w:ascii="Book Antiqua" w:hAnsi="Book Antiqua" w:cs="Tahoma"/>
          <w:b/>
          <w:bCs/>
          <w:i/>
          <w:iCs/>
          <w:u w:val="single"/>
        </w:rPr>
        <w:t xml:space="preserve"> FINANCIÈRE 2025</w:t>
      </w:r>
    </w:p>
    <w:p w14:paraId="2D95AA5F" w14:textId="3B67ABF0" w:rsidR="00421176" w:rsidRDefault="00C3169A" w:rsidP="00836327">
      <w:pPr>
        <w:spacing w:after="160" w:line="360" w:lineRule="auto"/>
        <w:jc w:val="both"/>
        <w:rPr>
          <w:rFonts w:ascii="Book Antiqua" w:hAnsi="Book Antiqua" w:cs="Tahoma"/>
          <w:b/>
          <w:bCs/>
          <w:i/>
          <w:iCs/>
          <w:u w:val="single"/>
        </w:rPr>
      </w:pPr>
      <w:r>
        <w:rPr>
          <w:noProof/>
        </w:rPr>
        <w:drawing>
          <wp:inline distT="0" distB="0" distL="0" distR="0" wp14:anchorId="133BEFBB" wp14:editId="4C2539CC">
            <wp:extent cx="4572000" cy="2743200"/>
            <wp:effectExtent l="0" t="0" r="0" b="0"/>
            <wp:docPr id="1019584290" name="Graphique 1">
              <a:extLst xmlns:a="http://schemas.openxmlformats.org/drawingml/2006/main">
                <a:ext uri="{FF2B5EF4-FFF2-40B4-BE49-F238E27FC236}">
                  <a16:creationId xmlns:a16="http://schemas.microsoft.com/office/drawing/2014/main" id="{585B4143-2CA3-4D4C-CA03-CB1375128C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10DBE1" w14:textId="77777777" w:rsidR="00FF3FC5" w:rsidRDefault="00FF3FC5" w:rsidP="00FF3FC5">
      <w:pPr>
        <w:spacing w:line="360" w:lineRule="auto"/>
        <w:jc w:val="both"/>
        <w:rPr>
          <w:rFonts w:ascii="Book Antiqua" w:hAnsi="Book Antiqua" w:cs="Tahoma"/>
          <w:b/>
          <w:bCs/>
          <w:i/>
          <w:iCs/>
          <w:u w:val="single"/>
        </w:rPr>
      </w:pPr>
      <w:r>
        <w:rPr>
          <w:rFonts w:ascii="Book Antiqua" w:hAnsi="Book Antiqua" w:cs="Tahoma"/>
          <w:b/>
          <w:bCs/>
          <w:i/>
          <w:iCs/>
          <w:u w:val="single"/>
        </w:rPr>
        <w:t>Source : Données financières RAPPID 2025</w:t>
      </w:r>
    </w:p>
    <w:p w14:paraId="7BB36BB7" w14:textId="77777777" w:rsidR="00BE2AD4" w:rsidRPr="00BE2AD4" w:rsidRDefault="00BE2AD4" w:rsidP="007806A8">
      <w:pPr>
        <w:spacing w:before="240" w:line="360" w:lineRule="auto"/>
        <w:jc w:val="both"/>
        <w:rPr>
          <w:rFonts w:ascii="Book Antiqua" w:hAnsi="Book Antiqua" w:cs="Tahoma"/>
        </w:rPr>
      </w:pPr>
      <w:r w:rsidRPr="00BE2AD4">
        <w:rPr>
          <w:rFonts w:ascii="Book Antiqua" w:hAnsi="Book Antiqua" w:cs="Tahoma"/>
        </w:rPr>
        <w:t>Au 31 décembre 2025, les dépenses totales s’élèvent à 328 045 EUR, représentant 76,47 % des ressources disponibles.</w:t>
      </w:r>
    </w:p>
    <w:p w14:paraId="2D38344E" w14:textId="77777777" w:rsidR="00BE2AD4" w:rsidRPr="00BE2AD4" w:rsidRDefault="00BE2AD4" w:rsidP="007806A8">
      <w:pPr>
        <w:spacing w:before="240" w:line="360" w:lineRule="auto"/>
        <w:jc w:val="both"/>
        <w:rPr>
          <w:rFonts w:ascii="Book Antiqua" w:hAnsi="Book Antiqua" w:cs="Tahoma"/>
        </w:rPr>
      </w:pPr>
      <w:r w:rsidRPr="00BE2AD4">
        <w:rPr>
          <w:rFonts w:ascii="Book Antiqua" w:hAnsi="Book Antiqua" w:cs="Tahoma"/>
        </w:rPr>
        <w:t>Le solde restant est de 100 991 EUR, soit 23,53 % des ressources totales.</w:t>
      </w:r>
    </w:p>
    <w:p w14:paraId="603B72AB" w14:textId="77777777" w:rsidR="00BE2AD4" w:rsidRPr="00BE2AD4" w:rsidRDefault="00BE2AD4" w:rsidP="007806A8">
      <w:pPr>
        <w:spacing w:before="240" w:line="360" w:lineRule="auto"/>
        <w:jc w:val="both"/>
        <w:rPr>
          <w:rFonts w:ascii="Book Antiqua" w:hAnsi="Book Antiqua" w:cs="Tahoma"/>
        </w:rPr>
      </w:pPr>
      <w:r w:rsidRPr="00BE2AD4">
        <w:rPr>
          <w:rFonts w:ascii="Book Antiqua" w:hAnsi="Book Antiqua" w:cs="Tahoma"/>
        </w:rPr>
        <w:t>Ce taux d’exécution traduit :</w:t>
      </w:r>
    </w:p>
    <w:p w14:paraId="63AAFE42" w14:textId="77777777" w:rsidR="00BE2AD4" w:rsidRPr="00BE2AD4" w:rsidRDefault="00BE2AD4" w:rsidP="007806A8">
      <w:pPr>
        <w:numPr>
          <w:ilvl w:val="0"/>
          <w:numId w:val="25"/>
        </w:numPr>
        <w:spacing w:before="240" w:line="360" w:lineRule="auto"/>
        <w:jc w:val="both"/>
        <w:rPr>
          <w:rFonts w:ascii="Book Antiqua" w:hAnsi="Book Antiqua" w:cs="Tahoma"/>
        </w:rPr>
      </w:pPr>
      <w:r w:rsidRPr="00BE2AD4">
        <w:rPr>
          <w:rFonts w:ascii="Book Antiqua" w:hAnsi="Book Antiqua" w:cs="Tahoma"/>
        </w:rPr>
        <w:t>Un niveau satisfaisant de mise en œuvre financière des activités prévues ;</w:t>
      </w:r>
    </w:p>
    <w:p w14:paraId="31E918A6" w14:textId="77777777" w:rsidR="00BE2AD4" w:rsidRPr="00BE2AD4" w:rsidRDefault="00BE2AD4" w:rsidP="007806A8">
      <w:pPr>
        <w:numPr>
          <w:ilvl w:val="0"/>
          <w:numId w:val="25"/>
        </w:numPr>
        <w:spacing w:before="240" w:line="360" w:lineRule="auto"/>
        <w:jc w:val="both"/>
        <w:rPr>
          <w:rFonts w:ascii="Book Antiqua" w:hAnsi="Book Antiqua" w:cs="Tahoma"/>
        </w:rPr>
      </w:pPr>
      <w:r w:rsidRPr="00BE2AD4">
        <w:rPr>
          <w:rFonts w:ascii="Book Antiqua" w:hAnsi="Book Antiqua" w:cs="Tahoma"/>
        </w:rPr>
        <w:t>Une capacité d’absorption budgétaire cohérente avec le calendrier opérationnel ;</w:t>
      </w:r>
    </w:p>
    <w:p w14:paraId="566356A5" w14:textId="77777777" w:rsidR="00BE2AD4" w:rsidRPr="00BE2AD4" w:rsidRDefault="00BE2AD4" w:rsidP="007806A8">
      <w:pPr>
        <w:numPr>
          <w:ilvl w:val="0"/>
          <w:numId w:val="25"/>
        </w:numPr>
        <w:spacing w:before="240" w:line="360" w:lineRule="auto"/>
        <w:jc w:val="both"/>
        <w:rPr>
          <w:rFonts w:ascii="Book Antiqua" w:hAnsi="Book Antiqua" w:cs="Tahoma"/>
        </w:rPr>
      </w:pPr>
      <w:r w:rsidRPr="00BE2AD4">
        <w:rPr>
          <w:rFonts w:ascii="Book Antiqua" w:hAnsi="Book Antiqua" w:cs="Tahoma"/>
        </w:rPr>
        <w:t>Une gestion maîtrisée évitant une surconsommation ou un déficit.</w:t>
      </w:r>
    </w:p>
    <w:p w14:paraId="3BFFD694" w14:textId="77777777" w:rsidR="00BE2AD4" w:rsidRPr="00BE2AD4" w:rsidRDefault="00BE2AD4" w:rsidP="007806A8">
      <w:pPr>
        <w:spacing w:before="240" w:line="360" w:lineRule="auto"/>
        <w:jc w:val="both"/>
        <w:rPr>
          <w:rFonts w:ascii="Book Antiqua" w:hAnsi="Book Antiqua" w:cs="Tahoma"/>
        </w:rPr>
      </w:pPr>
      <w:r w:rsidRPr="00BE2AD4">
        <w:rPr>
          <w:rFonts w:ascii="Book Antiqua" w:hAnsi="Book Antiqua" w:cs="Tahoma"/>
        </w:rPr>
        <w:t>Le solde disponible à la fin de l’exercice constitue un levier stratégique pour :</w:t>
      </w:r>
    </w:p>
    <w:p w14:paraId="60D7AF0D" w14:textId="77777777" w:rsidR="00BE2AD4" w:rsidRPr="00BE2AD4" w:rsidRDefault="00BE2AD4" w:rsidP="007806A8">
      <w:pPr>
        <w:numPr>
          <w:ilvl w:val="0"/>
          <w:numId w:val="26"/>
        </w:numPr>
        <w:spacing w:before="240" w:line="360" w:lineRule="auto"/>
        <w:jc w:val="both"/>
        <w:rPr>
          <w:rFonts w:ascii="Book Antiqua" w:hAnsi="Book Antiqua" w:cs="Tahoma"/>
        </w:rPr>
      </w:pPr>
      <w:r w:rsidRPr="00BE2AD4">
        <w:rPr>
          <w:rFonts w:ascii="Book Antiqua" w:hAnsi="Book Antiqua" w:cs="Tahoma"/>
        </w:rPr>
        <w:t>Assurer la continuité des actions en 2026 ;</w:t>
      </w:r>
    </w:p>
    <w:p w14:paraId="4D6363E8" w14:textId="77777777" w:rsidR="00BE2AD4" w:rsidRPr="00BE2AD4" w:rsidRDefault="00BE2AD4" w:rsidP="007806A8">
      <w:pPr>
        <w:numPr>
          <w:ilvl w:val="0"/>
          <w:numId w:val="26"/>
        </w:numPr>
        <w:spacing w:before="240" w:line="360" w:lineRule="auto"/>
        <w:jc w:val="both"/>
        <w:rPr>
          <w:rFonts w:ascii="Book Antiqua" w:hAnsi="Book Antiqua" w:cs="Tahoma"/>
        </w:rPr>
      </w:pPr>
      <w:r w:rsidRPr="00BE2AD4">
        <w:rPr>
          <w:rFonts w:ascii="Book Antiqua" w:hAnsi="Book Antiqua" w:cs="Tahoma"/>
        </w:rPr>
        <w:t>Couvrir d’éventuels ajustements programmatiques ;</w:t>
      </w:r>
    </w:p>
    <w:p w14:paraId="78FCA17B" w14:textId="77777777" w:rsidR="00BE2AD4" w:rsidRPr="00BE2AD4" w:rsidRDefault="00BE2AD4" w:rsidP="007806A8">
      <w:pPr>
        <w:numPr>
          <w:ilvl w:val="0"/>
          <w:numId w:val="26"/>
        </w:numPr>
        <w:spacing w:before="240" w:line="360" w:lineRule="auto"/>
        <w:jc w:val="both"/>
        <w:rPr>
          <w:rFonts w:ascii="Book Antiqua" w:hAnsi="Book Antiqua" w:cs="Tahoma"/>
        </w:rPr>
      </w:pPr>
      <w:r w:rsidRPr="00BE2AD4">
        <w:rPr>
          <w:rFonts w:ascii="Book Antiqua" w:hAnsi="Book Antiqua" w:cs="Tahoma"/>
        </w:rPr>
        <w:t>Maintenir la stabilité de trésorerie.</w:t>
      </w:r>
    </w:p>
    <w:p w14:paraId="7CA668A7" w14:textId="77777777" w:rsidR="002C7369" w:rsidRDefault="002C7369" w:rsidP="00836327">
      <w:pPr>
        <w:spacing w:after="160" w:line="360" w:lineRule="auto"/>
        <w:jc w:val="both"/>
      </w:pPr>
    </w:p>
    <w:p w14:paraId="36FA3648" w14:textId="658D669C" w:rsidR="00421176" w:rsidRDefault="002C7369" w:rsidP="00836327">
      <w:pPr>
        <w:spacing w:after="160" w:line="360" w:lineRule="auto"/>
        <w:jc w:val="both"/>
        <w:rPr>
          <w:rFonts w:ascii="Book Antiqua" w:hAnsi="Book Antiqua" w:cs="Tahoma"/>
          <w:b/>
          <w:bCs/>
          <w:i/>
          <w:iCs/>
          <w:u w:val="single"/>
        </w:rPr>
      </w:pPr>
      <w:r w:rsidRPr="00EE3ECC">
        <w:rPr>
          <w:rFonts w:ascii="Book Antiqua" w:hAnsi="Book Antiqua" w:cs="Tahoma"/>
          <w:b/>
          <w:bCs/>
          <w:i/>
          <w:iCs/>
          <w:u w:val="single"/>
        </w:rPr>
        <w:t>GRAPHIQUE 3 : ÉVOLUTION DE LA TRÉSORERIE 2025</w:t>
      </w:r>
    </w:p>
    <w:p w14:paraId="21F4CBD5" w14:textId="2784D6D8" w:rsidR="00421176" w:rsidRDefault="00EE3ECC" w:rsidP="00836327">
      <w:pPr>
        <w:spacing w:after="160" w:line="360" w:lineRule="auto"/>
        <w:jc w:val="both"/>
        <w:rPr>
          <w:rFonts w:ascii="Book Antiqua" w:hAnsi="Book Antiqua" w:cs="Tahoma"/>
          <w:b/>
          <w:bCs/>
          <w:i/>
          <w:iCs/>
          <w:u w:val="single"/>
        </w:rPr>
      </w:pPr>
      <w:r w:rsidRPr="00EE3ECC">
        <w:rPr>
          <w:noProof/>
          <w:shd w:val="clear" w:color="auto" w:fill="ED7D31" w:themeFill="accent2"/>
        </w:rPr>
        <w:drawing>
          <wp:inline distT="0" distB="0" distL="0" distR="0" wp14:anchorId="2E32EF1E" wp14:editId="3D8AF862">
            <wp:extent cx="4572000" cy="2743200"/>
            <wp:effectExtent l="0" t="0" r="0" b="0"/>
            <wp:docPr id="1632663914" name="Graphique 1">
              <a:extLst xmlns:a="http://schemas.openxmlformats.org/drawingml/2006/main">
                <a:ext uri="{FF2B5EF4-FFF2-40B4-BE49-F238E27FC236}">
                  <a16:creationId xmlns:a16="http://schemas.microsoft.com/office/drawing/2014/main" id="{76CBD8F8-8A6F-A5B4-4940-6AB41C7C6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6AC12E" w14:textId="48CC912B" w:rsidR="001B3C8F" w:rsidRPr="001B3C8F" w:rsidRDefault="001B3C8F" w:rsidP="001B3C8F">
      <w:pPr>
        <w:spacing w:line="360" w:lineRule="auto"/>
        <w:jc w:val="both"/>
        <w:rPr>
          <w:rFonts w:ascii="Book Antiqua" w:hAnsi="Book Antiqua" w:cs="Tahoma"/>
          <w:b/>
          <w:bCs/>
          <w:i/>
          <w:iCs/>
          <w:u w:val="single"/>
        </w:rPr>
      </w:pPr>
      <w:r>
        <w:rPr>
          <w:rFonts w:ascii="Book Antiqua" w:hAnsi="Book Antiqua" w:cs="Tahoma"/>
          <w:b/>
          <w:bCs/>
          <w:i/>
          <w:iCs/>
          <w:u w:val="single"/>
        </w:rPr>
        <w:t>Source : Données financières RAPPID 2025</w:t>
      </w:r>
    </w:p>
    <w:p w14:paraId="07F579A6" w14:textId="015DE019" w:rsidR="001B3C8F" w:rsidRPr="001B3C8F" w:rsidRDefault="001B3C8F" w:rsidP="001B3C8F">
      <w:pPr>
        <w:spacing w:line="360" w:lineRule="auto"/>
        <w:jc w:val="both"/>
        <w:rPr>
          <w:rFonts w:ascii="Book Antiqua" w:hAnsi="Book Antiqua" w:cs="Tahoma"/>
        </w:rPr>
      </w:pPr>
      <w:r w:rsidRPr="001B3C8F">
        <w:rPr>
          <w:rFonts w:ascii="Book Antiqua" w:hAnsi="Book Antiqua" w:cs="Tahoma"/>
        </w:rPr>
        <w:t>L’évolution de la trésorerie montre une dynamique financière structurée :</w:t>
      </w:r>
    </w:p>
    <w:p w14:paraId="6F4877FE" w14:textId="77777777" w:rsidR="001B3C8F" w:rsidRPr="001B3C8F" w:rsidRDefault="001B3C8F" w:rsidP="001B3C8F">
      <w:pPr>
        <w:numPr>
          <w:ilvl w:val="0"/>
          <w:numId w:val="27"/>
        </w:numPr>
        <w:spacing w:line="360" w:lineRule="auto"/>
        <w:jc w:val="both"/>
        <w:rPr>
          <w:rFonts w:ascii="Book Antiqua" w:hAnsi="Book Antiqua" w:cs="Tahoma"/>
        </w:rPr>
      </w:pPr>
      <w:r w:rsidRPr="001B3C8F">
        <w:rPr>
          <w:rFonts w:ascii="Book Antiqua" w:hAnsi="Book Antiqua" w:cs="Tahoma"/>
        </w:rPr>
        <w:t>Les ressources totales disponibles : 429 037 EUR</w:t>
      </w:r>
    </w:p>
    <w:p w14:paraId="4A304F4C" w14:textId="77777777" w:rsidR="001B3C8F" w:rsidRPr="001B3C8F" w:rsidRDefault="001B3C8F" w:rsidP="001B3C8F">
      <w:pPr>
        <w:numPr>
          <w:ilvl w:val="0"/>
          <w:numId w:val="27"/>
        </w:numPr>
        <w:spacing w:line="360" w:lineRule="auto"/>
        <w:jc w:val="both"/>
        <w:rPr>
          <w:rFonts w:ascii="Book Antiqua" w:hAnsi="Book Antiqua" w:cs="Tahoma"/>
        </w:rPr>
      </w:pPr>
      <w:r w:rsidRPr="001B3C8F">
        <w:rPr>
          <w:rFonts w:ascii="Book Antiqua" w:hAnsi="Book Antiqua" w:cs="Tahoma"/>
        </w:rPr>
        <w:t>Les dépenses engagées : 328 045 EUR</w:t>
      </w:r>
    </w:p>
    <w:p w14:paraId="3A5EF28C" w14:textId="77777777" w:rsidR="001B3C8F" w:rsidRPr="001B3C8F" w:rsidRDefault="001B3C8F" w:rsidP="001B3C8F">
      <w:pPr>
        <w:numPr>
          <w:ilvl w:val="0"/>
          <w:numId w:val="27"/>
        </w:numPr>
        <w:spacing w:line="360" w:lineRule="auto"/>
        <w:jc w:val="both"/>
        <w:rPr>
          <w:rFonts w:ascii="Book Antiqua" w:hAnsi="Book Antiqua" w:cs="Tahoma"/>
        </w:rPr>
      </w:pPr>
      <w:r w:rsidRPr="001B3C8F">
        <w:rPr>
          <w:rFonts w:ascii="Book Antiqua" w:hAnsi="Book Antiqua" w:cs="Tahoma"/>
        </w:rPr>
        <w:t>Le solde restant : 100 991 EUR</w:t>
      </w:r>
    </w:p>
    <w:p w14:paraId="678BB9D3" w14:textId="77777777" w:rsidR="001B3C8F" w:rsidRPr="001B3C8F" w:rsidRDefault="001B3C8F" w:rsidP="001B3C8F">
      <w:pPr>
        <w:spacing w:line="360" w:lineRule="auto"/>
        <w:jc w:val="both"/>
        <w:rPr>
          <w:rFonts w:ascii="Book Antiqua" w:hAnsi="Book Antiqua" w:cs="Tahoma"/>
        </w:rPr>
      </w:pPr>
      <w:r w:rsidRPr="001B3C8F">
        <w:rPr>
          <w:rFonts w:ascii="Book Antiqua" w:hAnsi="Book Antiqua" w:cs="Tahoma"/>
        </w:rPr>
        <w:t>La différence entre les ressources mobilisées et les dépenses réalisées démontre :</w:t>
      </w:r>
    </w:p>
    <w:p w14:paraId="7664D31A" w14:textId="77777777" w:rsidR="001B3C8F" w:rsidRPr="001B3C8F" w:rsidRDefault="001B3C8F" w:rsidP="001B3C8F">
      <w:pPr>
        <w:numPr>
          <w:ilvl w:val="0"/>
          <w:numId w:val="28"/>
        </w:numPr>
        <w:spacing w:line="360" w:lineRule="auto"/>
        <w:jc w:val="both"/>
        <w:rPr>
          <w:rFonts w:ascii="Book Antiqua" w:hAnsi="Book Antiqua" w:cs="Tahoma"/>
        </w:rPr>
      </w:pPr>
      <w:r w:rsidRPr="001B3C8F">
        <w:rPr>
          <w:rFonts w:ascii="Book Antiqua" w:hAnsi="Book Antiqua" w:cs="Tahoma"/>
        </w:rPr>
        <w:t>Une gestion prudente et anticipative ;</w:t>
      </w:r>
    </w:p>
    <w:p w14:paraId="15038B87" w14:textId="77777777" w:rsidR="001B3C8F" w:rsidRPr="001B3C8F" w:rsidRDefault="001B3C8F" w:rsidP="001B3C8F">
      <w:pPr>
        <w:numPr>
          <w:ilvl w:val="0"/>
          <w:numId w:val="28"/>
        </w:numPr>
        <w:spacing w:line="360" w:lineRule="auto"/>
        <w:jc w:val="both"/>
        <w:rPr>
          <w:rFonts w:ascii="Book Antiqua" w:hAnsi="Book Antiqua" w:cs="Tahoma"/>
        </w:rPr>
      </w:pPr>
      <w:r w:rsidRPr="001B3C8F">
        <w:rPr>
          <w:rFonts w:ascii="Book Antiqua" w:hAnsi="Book Antiqua" w:cs="Tahoma"/>
        </w:rPr>
        <w:t>Une planification financière respectée ;</w:t>
      </w:r>
    </w:p>
    <w:p w14:paraId="440C6FEB" w14:textId="77777777" w:rsidR="001B3C8F" w:rsidRPr="001B3C8F" w:rsidRDefault="001B3C8F" w:rsidP="001B3C8F">
      <w:pPr>
        <w:numPr>
          <w:ilvl w:val="0"/>
          <w:numId w:val="28"/>
        </w:numPr>
        <w:spacing w:line="360" w:lineRule="auto"/>
        <w:jc w:val="both"/>
        <w:rPr>
          <w:rFonts w:ascii="Book Antiqua" w:hAnsi="Book Antiqua" w:cs="Tahoma"/>
        </w:rPr>
      </w:pPr>
      <w:r w:rsidRPr="001B3C8F">
        <w:rPr>
          <w:rFonts w:ascii="Book Antiqua" w:hAnsi="Book Antiqua" w:cs="Tahoma"/>
        </w:rPr>
        <w:t>L’absence de tension de trésorerie.</w:t>
      </w:r>
    </w:p>
    <w:p w14:paraId="2FA5998F" w14:textId="525E68E7" w:rsidR="00506B75" w:rsidRPr="001B3C8F" w:rsidRDefault="001B3C8F" w:rsidP="001B3C8F">
      <w:pPr>
        <w:spacing w:line="360" w:lineRule="auto"/>
        <w:jc w:val="both"/>
        <w:rPr>
          <w:rFonts w:ascii="Book Antiqua" w:hAnsi="Book Antiqua" w:cs="Tahoma"/>
        </w:rPr>
      </w:pPr>
      <w:r w:rsidRPr="001B3C8F">
        <w:rPr>
          <w:rFonts w:ascii="Book Antiqua" w:hAnsi="Book Antiqua" w:cs="Tahoma"/>
        </w:rPr>
        <w:t>Le niveau de solde (près d’un quart des ressources) permet d’envisager sereinement la poursuite des activités, tout en garantissant une marge de sécurité face aux imprévus</w:t>
      </w:r>
    </w:p>
    <w:p w14:paraId="17EA6B78" w14:textId="47CBB333" w:rsidR="00CA3B4F" w:rsidRDefault="00CA3B4F" w:rsidP="0023281A">
      <w:pPr>
        <w:pStyle w:val="Titre1"/>
        <w:numPr>
          <w:ilvl w:val="0"/>
          <w:numId w:val="22"/>
        </w:numPr>
        <w:spacing w:line="240" w:lineRule="auto"/>
        <w:ind w:left="0" w:firstLine="0"/>
        <w:rPr>
          <w:rFonts w:ascii="Book Antiqua" w:hAnsi="Book Antiqua" w:cstheme="minorHAnsi"/>
          <w:color w:val="4472C4" w:themeColor="accent1"/>
          <w:sz w:val="22"/>
          <w:szCs w:val="22"/>
          <w:u w:val="single"/>
        </w:rPr>
      </w:pPr>
      <w:bookmarkStart w:id="8" w:name="_Toc223104665"/>
      <w:r>
        <w:rPr>
          <w:rFonts w:ascii="Book Antiqua" w:hAnsi="Book Antiqua" w:cstheme="minorHAnsi"/>
          <w:color w:val="4472C4" w:themeColor="accent1"/>
          <w:sz w:val="22"/>
          <w:szCs w:val="22"/>
          <w:u w:val="single"/>
        </w:rPr>
        <w:t>SITUATION DES RESSOURCES ET DES EMPLOIS AU 31 DÉCEMBRE 202</w:t>
      </w:r>
      <w:r w:rsidR="00310A3C">
        <w:rPr>
          <w:rFonts w:ascii="Book Antiqua" w:hAnsi="Book Antiqua" w:cstheme="minorHAnsi"/>
          <w:color w:val="4472C4" w:themeColor="accent1"/>
          <w:sz w:val="22"/>
          <w:szCs w:val="22"/>
          <w:u w:val="single"/>
        </w:rPr>
        <w:t>5</w:t>
      </w:r>
      <w:bookmarkEnd w:id="8"/>
    </w:p>
    <w:p w14:paraId="5AFB4216" w14:textId="77777777" w:rsidR="00CA3B4F" w:rsidRPr="00CA3B4F" w:rsidRDefault="00CA3B4F" w:rsidP="00CA3B4F">
      <w:pPr>
        <w:spacing w:line="360" w:lineRule="auto"/>
        <w:jc w:val="both"/>
        <w:rPr>
          <w:rFonts w:ascii="Book Antiqua" w:hAnsi="Book Antiqua" w:cs="Tahoma"/>
          <w:sz w:val="10"/>
          <w:szCs w:val="10"/>
        </w:rPr>
      </w:pPr>
    </w:p>
    <w:p w14:paraId="36E97ECF" w14:textId="1B2501CF" w:rsidR="00CA3B4F" w:rsidRPr="00CA3B4F" w:rsidRDefault="00CA3B4F" w:rsidP="00CA3B4F">
      <w:pPr>
        <w:spacing w:line="360" w:lineRule="auto"/>
        <w:jc w:val="both"/>
        <w:rPr>
          <w:rFonts w:ascii="Book Antiqua" w:hAnsi="Book Antiqua" w:cs="Tahoma"/>
        </w:rPr>
      </w:pPr>
      <w:r>
        <w:rPr>
          <w:rFonts w:ascii="Book Antiqua" w:hAnsi="Book Antiqua" w:cs="Tahoma"/>
        </w:rPr>
        <w:t xml:space="preserve">La situation des ressources et emplois pour l’année </w:t>
      </w:r>
      <w:r w:rsidR="00354A7F">
        <w:rPr>
          <w:rFonts w:ascii="Book Antiqua" w:hAnsi="Book Antiqua" w:cs="Tahoma"/>
        </w:rPr>
        <w:t>202</w:t>
      </w:r>
      <w:r w:rsidR="003A62FF">
        <w:rPr>
          <w:rFonts w:ascii="Book Antiqua" w:hAnsi="Book Antiqua" w:cs="Tahoma"/>
        </w:rPr>
        <w:t>5</w:t>
      </w:r>
      <w:r w:rsidR="00354A7F">
        <w:rPr>
          <w:rFonts w:ascii="Book Antiqua" w:hAnsi="Book Antiqua" w:cs="Tahoma"/>
        </w:rPr>
        <w:t xml:space="preserve"> tient</w:t>
      </w:r>
      <w:r>
        <w:rPr>
          <w:rFonts w:ascii="Book Antiqua" w:hAnsi="Book Antiqua" w:cs="Tahoma"/>
        </w:rPr>
        <w:t xml:space="preserve"> de ce que le </w:t>
      </w:r>
      <w:r w:rsidRPr="00CA3B4F">
        <w:rPr>
          <w:rFonts w:ascii="Book Antiqua" w:hAnsi="Book Antiqua" w:cs="Tahoma"/>
        </w:rPr>
        <w:t xml:space="preserve">total des emplois correspondant aux dépenses effectuées sur les différentes rubriques </w:t>
      </w:r>
      <w:r w:rsidR="00014F4F">
        <w:rPr>
          <w:rFonts w:ascii="Book Antiqua" w:hAnsi="Book Antiqua" w:cs="Tahoma"/>
        </w:rPr>
        <w:t xml:space="preserve">est basé sur le </w:t>
      </w:r>
      <w:r w:rsidR="00756E06" w:rsidRPr="00CA3B4F">
        <w:rPr>
          <w:rFonts w:ascii="Book Antiqua" w:hAnsi="Book Antiqua" w:cs="Tahoma"/>
        </w:rPr>
        <w:t xml:space="preserve">budget </w:t>
      </w:r>
      <w:r w:rsidRPr="00CA3B4F">
        <w:rPr>
          <w:rFonts w:ascii="Book Antiqua" w:hAnsi="Book Antiqua" w:cs="Tahoma"/>
        </w:rPr>
        <w:t xml:space="preserve">approuvé. </w:t>
      </w:r>
      <w:r>
        <w:rPr>
          <w:rFonts w:ascii="Book Antiqua" w:hAnsi="Book Antiqua" w:cs="Tahoma"/>
        </w:rPr>
        <w:t>Ainsi, l</w:t>
      </w:r>
      <w:r w:rsidRPr="00CA3B4F">
        <w:rPr>
          <w:rFonts w:ascii="Book Antiqua" w:hAnsi="Book Antiqua" w:cs="Tahoma"/>
        </w:rPr>
        <w:t xml:space="preserve">es ressources sont constituées des fonds reçus de l’Ambassade des Pays-Bas et </w:t>
      </w:r>
      <w:r w:rsidR="00BC6CCF">
        <w:rPr>
          <w:rFonts w:ascii="Book Antiqua" w:hAnsi="Book Antiqua" w:cs="Tahoma"/>
        </w:rPr>
        <w:t>du solde des ressources de 202</w:t>
      </w:r>
      <w:r w:rsidR="003A62FF">
        <w:rPr>
          <w:rFonts w:ascii="Book Antiqua" w:hAnsi="Book Antiqua" w:cs="Tahoma"/>
        </w:rPr>
        <w:t>4</w:t>
      </w:r>
      <w:r w:rsidRPr="00CA3B4F">
        <w:rPr>
          <w:rFonts w:ascii="Book Antiqua" w:hAnsi="Book Antiqua" w:cs="Tahoma"/>
        </w:rPr>
        <w:t>.</w:t>
      </w:r>
    </w:p>
    <w:p w14:paraId="45FB44F0" w14:textId="3EE93486" w:rsidR="003C1C8C" w:rsidRPr="000E4883" w:rsidRDefault="00057501" w:rsidP="00CA3B4F">
      <w:pPr>
        <w:spacing w:line="360" w:lineRule="auto"/>
        <w:jc w:val="both"/>
        <w:rPr>
          <w:rFonts w:ascii="Book Antiqua" w:hAnsi="Book Antiqua" w:cs="Tahoma"/>
        </w:rPr>
      </w:pPr>
      <w:r>
        <w:rPr>
          <w:rFonts w:ascii="Book Antiqua" w:hAnsi="Book Antiqua" w:cs="Tahoma"/>
        </w:rPr>
        <w:lastRenderedPageBreak/>
        <w:t xml:space="preserve"> </w:t>
      </w:r>
      <w:r w:rsidR="00CA3B4F" w:rsidRPr="00CA3B4F">
        <w:rPr>
          <w:rFonts w:ascii="Book Antiqua" w:hAnsi="Book Antiqua" w:cs="Tahoma"/>
        </w:rPr>
        <w:t>Le tableau ci-</w:t>
      </w:r>
      <w:r w:rsidR="00340A03">
        <w:rPr>
          <w:rFonts w:ascii="Book Antiqua" w:hAnsi="Book Antiqua" w:cs="Tahoma"/>
        </w:rPr>
        <w:t>après</w:t>
      </w:r>
      <w:r w:rsidR="00CA3B4F" w:rsidRPr="00CA3B4F">
        <w:rPr>
          <w:rFonts w:ascii="Book Antiqua" w:hAnsi="Book Antiqua" w:cs="Tahoma"/>
        </w:rPr>
        <w:t xml:space="preserve"> retrace la situation financière à </w:t>
      </w:r>
      <w:r w:rsidR="00340A03">
        <w:rPr>
          <w:rFonts w:ascii="Book Antiqua" w:hAnsi="Book Antiqua" w:cs="Tahoma"/>
        </w:rPr>
        <w:t>d</w:t>
      </w:r>
      <w:r w:rsidR="00CA3B4F" w:rsidRPr="00CA3B4F">
        <w:rPr>
          <w:rFonts w:ascii="Book Antiqua" w:hAnsi="Book Antiqua" w:cs="Tahoma"/>
        </w:rPr>
        <w:t>écembre 202</w:t>
      </w:r>
      <w:r w:rsidR="00D2606F">
        <w:rPr>
          <w:rFonts w:ascii="Book Antiqua" w:hAnsi="Book Antiqua" w:cs="Tahoma"/>
        </w:rPr>
        <w:t>5</w:t>
      </w:r>
      <w:r w:rsidR="00CA3B4F" w:rsidRPr="00CA3B4F">
        <w:rPr>
          <w:rFonts w:ascii="Book Antiqua" w:hAnsi="Book Antiqua" w:cs="Tahoma"/>
        </w:rPr>
        <w:t xml:space="preserve"> du programme RAPPID</w:t>
      </w:r>
    </w:p>
    <w:p w14:paraId="0B8EFB61" w14:textId="166FDF28" w:rsidR="00C62F42" w:rsidRPr="00CA3B4F" w:rsidRDefault="00340A03" w:rsidP="00CA3B4F">
      <w:pPr>
        <w:spacing w:line="360" w:lineRule="auto"/>
        <w:jc w:val="both"/>
        <w:rPr>
          <w:rFonts w:ascii="Book Antiqua" w:hAnsi="Book Antiqua" w:cs="Tahoma"/>
        </w:rPr>
      </w:pPr>
      <w:r w:rsidRPr="00340A03">
        <w:rPr>
          <w:rFonts w:ascii="Book Antiqua" w:hAnsi="Book Antiqua" w:cs="Tahoma"/>
          <w:b/>
          <w:bCs/>
        </w:rPr>
        <w:t>Tableau 1 :</w:t>
      </w:r>
      <w:r>
        <w:rPr>
          <w:rFonts w:ascii="Book Antiqua" w:hAnsi="Book Antiqua" w:cs="Tahoma"/>
        </w:rPr>
        <w:t xml:space="preserve"> </w:t>
      </w:r>
      <w:r w:rsidR="00354A7F">
        <w:rPr>
          <w:rFonts w:ascii="Book Antiqua" w:hAnsi="Book Antiqua" w:cs="Tahoma"/>
        </w:rPr>
        <w:t xml:space="preserve">Tableau des </w:t>
      </w:r>
      <w:r w:rsidR="00F51B75">
        <w:rPr>
          <w:rFonts w:ascii="Book Antiqua" w:hAnsi="Book Antiqua" w:cs="Tahoma"/>
        </w:rPr>
        <w:t xml:space="preserve">Ressources </w:t>
      </w:r>
      <w:r w:rsidR="00354A7F">
        <w:rPr>
          <w:rFonts w:ascii="Book Antiqua" w:hAnsi="Book Antiqua" w:cs="Tahoma"/>
        </w:rPr>
        <w:t xml:space="preserve">et des </w:t>
      </w:r>
      <w:r w:rsidR="00F51B75">
        <w:rPr>
          <w:rFonts w:ascii="Book Antiqua" w:hAnsi="Book Antiqua" w:cs="Tahoma"/>
        </w:rPr>
        <w:t xml:space="preserve">Emplois </w:t>
      </w:r>
      <w:r w:rsidR="00354A7F">
        <w:rPr>
          <w:rFonts w:ascii="Book Antiqua" w:hAnsi="Book Antiqua" w:cs="Tahoma"/>
        </w:rPr>
        <w:t>202</w:t>
      </w:r>
      <w:r w:rsidR="00F51B75">
        <w:rPr>
          <w:rFonts w:ascii="Book Antiqua" w:hAnsi="Book Antiqua" w:cs="Tahoma"/>
        </w:rPr>
        <w:t>5</w:t>
      </w:r>
      <w:r>
        <w:rPr>
          <w:rFonts w:ascii="Book Antiqua" w:hAnsi="Book Antiqua" w:cs="Tahoma"/>
        </w:rPr>
        <w:t xml:space="preserve"> RAPPID</w:t>
      </w:r>
    </w:p>
    <w:p w14:paraId="5224DC2F" w14:textId="77777777" w:rsidR="00836327" w:rsidRPr="0023281A" w:rsidRDefault="00836327" w:rsidP="00836327">
      <w:pPr>
        <w:rPr>
          <w:rFonts w:ascii="Book Antiqua" w:hAnsi="Book Antiqua" w:cs="Tahoma"/>
          <w:sz w:val="10"/>
          <w:szCs w:val="10"/>
          <w:lang w:val="nl-NL"/>
        </w:rPr>
      </w:pPr>
    </w:p>
    <w:tbl>
      <w:tblPr>
        <w:tblW w:w="5000" w:type="pct"/>
        <w:tblCellMar>
          <w:left w:w="70" w:type="dxa"/>
          <w:right w:w="70" w:type="dxa"/>
        </w:tblCellMar>
        <w:tblLook w:val="04A0" w:firstRow="1" w:lastRow="0" w:firstColumn="1" w:lastColumn="0" w:noHBand="0" w:noVBand="1"/>
      </w:tblPr>
      <w:tblGrid>
        <w:gridCol w:w="5778"/>
        <w:gridCol w:w="1880"/>
        <w:gridCol w:w="1820"/>
      </w:tblGrid>
      <w:tr w:rsidR="00904872" w:rsidRPr="00904872" w14:paraId="08AB94D1" w14:textId="77777777" w:rsidTr="005C4B48">
        <w:trPr>
          <w:trHeight w:val="310"/>
        </w:trPr>
        <w:tc>
          <w:tcPr>
            <w:tcW w:w="3219" w:type="pct"/>
            <w:vMerge w:val="restart"/>
            <w:tcBorders>
              <w:top w:val="single" w:sz="8" w:space="0" w:color="auto"/>
              <w:left w:val="single" w:sz="8" w:space="0" w:color="auto"/>
              <w:bottom w:val="single" w:sz="4" w:space="0" w:color="auto"/>
              <w:right w:val="single" w:sz="4" w:space="0" w:color="auto"/>
            </w:tcBorders>
            <w:noWrap/>
            <w:vAlign w:val="center"/>
            <w:hideMark/>
          </w:tcPr>
          <w:p w14:paraId="12282AF3" w14:textId="77777777" w:rsidR="00904872" w:rsidRPr="00904872" w:rsidRDefault="00904872" w:rsidP="00904872">
            <w:pPr>
              <w:jc w:val="cente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RUBRIQUES</w:t>
            </w:r>
          </w:p>
        </w:tc>
        <w:tc>
          <w:tcPr>
            <w:tcW w:w="1781" w:type="pct"/>
            <w:gridSpan w:val="2"/>
            <w:tcBorders>
              <w:top w:val="single" w:sz="8" w:space="0" w:color="auto"/>
              <w:left w:val="nil"/>
              <w:bottom w:val="single" w:sz="4" w:space="0" w:color="auto"/>
              <w:right w:val="single" w:sz="8" w:space="0" w:color="000000"/>
            </w:tcBorders>
            <w:noWrap/>
            <w:vAlign w:val="center"/>
            <w:hideMark/>
          </w:tcPr>
          <w:p w14:paraId="2A04793B" w14:textId="77777777" w:rsidR="00904872" w:rsidRPr="00904872" w:rsidRDefault="00904872" w:rsidP="00904872">
            <w:pPr>
              <w:jc w:val="cente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MONTANT </w:t>
            </w:r>
          </w:p>
        </w:tc>
      </w:tr>
      <w:tr w:rsidR="00904872" w:rsidRPr="00904872" w14:paraId="37B932F2" w14:textId="77777777" w:rsidTr="005C4B48">
        <w:trPr>
          <w:trHeight w:val="310"/>
        </w:trPr>
        <w:tc>
          <w:tcPr>
            <w:tcW w:w="3219" w:type="pct"/>
            <w:vMerge/>
            <w:tcBorders>
              <w:top w:val="single" w:sz="8" w:space="0" w:color="auto"/>
              <w:left w:val="single" w:sz="8" w:space="0" w:color="auto"/>
              <w:bottom w:val="single" w:sz="4" w:space="0" w:color="auto"/>
              <w:right w:val="single" w:sz="4" w:space="0" w:color="auto"/>
            </w:tcBorders>
            <w:vAlign w:val="center"/>
            <w:hideMark/>
          </w:tcPr>
          <w:p w14:paraId="3978DB3C" w14:textId="77777777" w:rsidR="00904872" w:rsidRPr="00904872" w:rsidRDefault="00904872" w:rsidP="00904872">
            <w:pPr>
              <w:rPr>
                <w:rFonts w:ascii="Book Antiqua" w:eastAsia="Times New Roman" w:hAnsi="Book Antiqua" w:cs="Calibri"/>
                <w:b/>
                <w:bCs/>
                <w:color w:val="000000"/>
                <w:lang w:eastAsia="fr-FR"/>
              </w:rPr>
            </w:pPr>
          </w:p>
        </w:tc>
        <w:tc>
          <w:tcPr>
            <w:tcW w:w="906" w:type="pct"/>
            <w:tcBorders>
              <w:top w:val="nil"/>
              <w:left w:val="nil"/>
              <w:bottom w:val="single" w:sz="4" w:space="0" w:color="auto"/>
              <w:right w:val="single" w:sz="4" w:space="0" w:color="auto"/>
            </w:tcBorders>
            <w:noWrap/>
            <w:vAlign w:val="center"/>
            <w:hideMark/>
          </w:tcPr>
          <w:p w14:paraId="6C7F674F"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FCFA </w:t>
            </w:r>
          </w:p>
        </w:tc>
        <w:tc>
          <w:tcPr>
            <w:tcW w:w="875" w:type="pct"/>
            <w:tcBorders>
              <w:top w:val="nil"/>
              <w:left w:val="nil"/>
              <w:bottom w:val="single" w:sz="4" w:space="0" w:color="auto"/>
              <w:right w:val="single" w:sz="8" w:space="0" w:color="auto"/>
            </w:tcBorders>
            <w:noWrap/>
            <w:vAlign w:val="center"/>
            <w:hideMark/>
          </w:tcPr>
          <w:p w14:paraId="6EAB2BB8"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EUROS </w:t>
            </w:r>
          </w:p>
        </w:tc>
      </w:tr>
      <w:tr w:rsidR="00904872" w:rsidRPr="00904872" w14:paraId="5BFF6720"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56E4468E"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SOLDE D'OUVERTURE AU 01/01/2025</w:t>
            </w:r>
          </w:p>
        </w:tc>
        <w:tc>
          <w:tcPr>
            <w:tcW w:w="906" w:type="pct"/>
            <w:tcBorders>
              <w:top w:val="nil"/>
              <w:left w:val="nil"/>
              <w:bottom w:val="single" w:sz="4" w:space="0" w:color="auto"/>
              <w:right w:val="single" w:sz="4" w:space="0" w:color="auto"/>
            </w:tcBorders>
            <w:noWrap/>
            <w:vAlign w:val="center"/>
            <w:hideMark/>
          </w:tcPr>
          <w:p w14:paraId="0E738ADC"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48 868 559   </w:t>
            </w:r>
          </w:p>
        </w:tc>
        <w:tc>
          <w:tcPr>
            <w:tcW w:w="875" w:type="pct"/>
            <w:tcBorders>
              <w:top w:val="nil"/>
              <w:left w:val="nil"/>
              <w:bottom w:val="single" w:sz="4" w:space="0" w:color="auto"/>
              <w:right w:val="single" w:sz="8" w:space="0" w:color="auto"/>
            </w:tcBorders>
            <w:noWrap/>
            <w:vAlign w:val="center"/>
            <w:hideMark/>
          </w:tcPr>
          <w:p w14:paraId="01A2C22A"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74 500 </w:t>
            </w:r>
          </w:p>
        </w:tc>
      </w:tr>
      <w:tr w:rsidR="00904872" w:rsidRPr="00904872" w14:paraId="6D6BF99C"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7024145C"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906" w:type="pct"/>
            <w:tcBorders>
              <w:top w:val="nil"/>
              <w:left w:val="nil"/>
              <w:bottom w:val="single" w:sz="4" w:space="0" w:color="auto"/>
              <w:right w:val="single" w:sz="4" w:space="0" w:color="auto"/>
            </w:tcBorders>
            <w:noWrap/>
            <w:vAlign w:val="center"/>
            <w:hideMark/>
          </w:tcPr>
          <w:p w14:paraId="332DFBA4"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875" w:type="pct"/>
            <w:tcBorders>
              <w:top w:val="nil"/>
              <w:left w:val="nil"/>
              <w:bottom w:val="single" w:sz="4" w:space="0" w:color="auto"/>
              <w:right w:val="single" w:sz="8" w:space="0" w:color="auto"/>
            </w:tcBorders>
            <w:noWrap/>
            <w:vAlign w:val="center"/>
            <w:hideMark/>
          </w:tcPr>
          <w:p w14:paraId="061BA3EA"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w:t>
            </w:r>
          </w:p>
        </w:tc>
      </w:tr>
      <w:tr w:rsidR="00904872" w:rsidRPr="00904872" w14:paraId="7DBCE498"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6253B8F3"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ENTREES DE LA PERIODE</w:t>
            </w:r>
          </w:p>
        </w:tc>
        <w:tc>
          <w:tcPr>
            <w:tcW w:w="906" w:type="pct"/>
            <w:tcBorders>
              <w:top w:val="nil"/>
              <w:left w:val="nil"/>
              <w:bottom w:val="single" w:sz="4" w:space="0" w:color="auto"/>
              <w:right w:val="single" w:sz="4" w:space="0" w:color="auto"/>
            </w:tcBorders>
            <w:noWrap/>
            <w:vAlign w:val="center"/>
            <w:hideMark/>
          </w:tcPr>
          <w:p w14:paraId="40EB360B"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232 561 027   </w:t>
            </w:r>
          </w:p>
        </w:tc>
        <w:tc>
          <w:tcPr>
            <w:tcW w:w="875" w:type="pct"/>
            <w:tcBorders>
              <w:top w:val="nil"/>
              <w:left w:val="nil"/>
              <w:bottom w:val="single" w:sz="4" w:space="0" w:color="auto"/>
              <w:right w:val="single" w:sz="8" w:space="0" w:color="auto"/>
            </w:tcBorders>
            <w:noWrap/>
            <w:vAlign w:val="center"/>
            <w:hideMark/>
          </w:tcPr>
          <w:p w14:paraId="1A850FD3"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354 537   </w:t>
            </w:r>
          </w:p>
        </w:tc>
      </w:tr>
      <w:tr w:rsidR="00904872" w:rsidRPr="00904872" w14:paraId="43CFB066" w14:textId="77777777" w:rsidTr="005C4B48">
        <w:trPr>
          <w:trHeight w:val="320"/>
        </w:trPr>
        <w:tc>
          <w:tcPr>
            <w:tcW w:w="3219" w:type="pct"/>
            <w:tcBorders>
              <w:top w:val="nil"/>
              <w:left w:val="single" w:sz="8" w:space="0" w:color="auto"/>
              <w:bottom w:val="single" w:sz="4" w:space="0" w:color="auto"/>
              <w:right w:val="single" w:sz="4" w:space="0" w:color="auto"/>
            </w:tcBorders>
            <w:noWrap/>
            <w:vAlign w:val="center"/>
            <w:hideMark/>
          </w:tcPr>
          <w:p w14:paraId="529A9E58" w14:textId="77777777" w:rsidR="00904872" w:rsidRPr="00904872" w:rsidRDefault="00904872" w:rsidP="00904872">
            <w:pPr>
              <w:jc w:val="right"/>
              <w:rPr>
                <w:rFonts w:ascii="Book Antiqua" w:eastAsia="Times New Roman" w:hAnsi="Book Antiqua" w:cs="Calibri"/>
                <w:i/>
                <w:iCs/>
                <w:color w:val="000000"/>
                <w:lang w:eastAsia="fr-FR"/>
              </w:rPr>
            </w:pPr>
            <w:r w:rsidRPr="00904872">
              <w:rPr>
                <w:rFonts w:ascii="Book Antiqua" w:eastAsia="Times New Roman" w:hAnsi="Book Antiqua" w:cs="Calibri"/>
                <w:i/>
                <w:iCs/>
                <w:color w:val="000000"/>
                <w:lang w:eastAsia="fr-FR"/>
              </w:rPr>
              <w:t>VIREMENT RECU</w:t>
            </w:r>
          </w:p>
        </w:tc>
        <w:tc>
          <w:tcPr>
            <w:tcW w:w="906" w:type="pct"/>
            <w:tcBorders>
              <w:top w:val="nil"/>
              <w:left w:val="nil"/>
              <w:bottom w:val="single" w:sz="4" w:space="0" w:color="auto"/>
              <w:right w:val="single" w:sz="4" w:space="0" w:color="auto"/>
            </w:tcBorders>
            <w:noWrap/>
            <w:vAlign w:val="center"/>
            <w:hideMark/>
          </w:tcPr>
          <w:p w14:paraId="10B96B04"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232 561 027   </w:t>
            </w:r>
          </w:p>
        </w:tc>
        <w:tc>
          <w:tcPr>
            <w:tcW w:w="875" w:type="pct"/>
            <w:tcBorders>
              <w:top w:val="nil"/>
              <w:left w:val="nil"/>
              <w:bottom w:val="single" w:sz="4" w:space="0" w:color="auto"/>
              <w:right w:val="single" w:sz="8" w:space="0" w:color="auto"/>
            </w:tcBorders>
            <w:noWrap/>
            <w:vAlign w:val="center"/>
            <w:hideMark/>
          </w:tcPr>
          <w:p w14:paraId="344B3226"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354 537   </w:t>
            </w:r>
          </w:p>
        </w:tc>
      </w:tr>
      <w:tr w:rsidR="00904872" w:rsidRPr="00904872" w14:paraId="3E221993" w14:textId="77777777" w:rsidTr="005C4B48">
        <w:trPr>
          <w:trHeight w:val="320"/>
        </w:trPr>
        <w:tc>
          <w:tcPr>
            <w:tcW w:w="3219" w:type="pct"/>
            <w:tcBorders>
              <w:top w:val="nil"/>
              <w:left w:val="single" w:sz="8" w:space="0" w:color="auto"/>
              <w:bottom w:val="single" w:sz="4" w:space="0" w:color="auto"/>
              <w:right w:val="single" w:sz="4" w:space="0" w:color="auto"/>
            </w:tcBorders>
            <w:noWrap/>
            <w:vAlign w:val="center"/>
            <w:hideMark/>
          </w:tcPr>
          <w:p w14:paraId="11AF15AB" w14:textId="77777777" w:rsidR="00904872" w:rsidRPr="00904872" w:rsidRDefault="00904872" w:rsidP="00904872">
            <w:pPr>
              <w:jc w:val="right"/>
              <w:rPr>
                <w:rFonts w:ascii="Book Antiqua" w:eastAsia="Times New Roman" w:hAnsi="Book Antiqua" w:cs="Calibri"/>
                <w:i/>
                <w:iCs/>
                <w:color w:val="000000"/>
                <w:lang w:eastAsia="fr-FR"/>
              </w:rPr>
            </w:pPr>
            <w:r w:rsidRPr="00904872">
              <w:rPr>
                <w:rFonts w:ascii="Book Antiqua" w:eastAsia="Times New Roman" w:hAnsi="Book Antiqua" w:cs="Calibri"/>
                <w:i/>
                <w:iCs/>
                <w:color w:val="000000"/>
                <w:lang w:eastAsia="fr-FR"/>
              </w:rPr>
              <w:t> </w:t>
            </w:r>
          </w:p>
        </w:tc>
        <w:tc>
          <w:tcPr>
            <w:tcW w:w="906" w:type="pct"/>
            <w:tcBorders>
              <w:top w:val="nil"/>
              <w:left w:val="nil"/>
              <w:bottom w:val="single" w:sz="4" w:space="0" w:color="auto"/>
              <w:right w:val="single" w:sz="4" w:space="0" w:color="auto"/>
            </w:tcBorders>
            <w:noWrap/>
            <w:vAlign w:val="center"/>
            <w:hideMark/>
          </w:tcPr>
          <w:p w14:paraId="04DF0815"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875" w:type="pct"/>
            <w:tcBorders>
              <w:top w:val="nil"/>
              <w:left w:val="nil"/>
              <w:bottom w:val="single" w:sz="4" w:space="0" w:color="auto"/>
              <w:right w:val="single" w:sz="8" w:space="0" w:color="auto"/>
            </w:tcBorders>
            <w:noWrap/>
            <w:vAlign w:val="center"/>
            <w:hideMark/>
          </w:tcPr>
          <w:p w14:paraId="7B45C1A0"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r>
      <w:tr w:rsidR="00904872" w:rsidRPr="00904872" w14:paraId="5031B38C" w14:textId="77777777" w:rsidTr="005C4B48">
        <w:trPr>
          <w:trHeight w:val="320"/>
        </w:trPr>
        <w:tc>
          <w:tcPr>
            <w:tcW w:w="3219" w:type="pct"/>
            <w:tcBorders>
              <w:top w:val="nil"/>
              <w:left w:val="single" w:sz="8" w:space="0" w:color="auto"/>
              <w:bottom w:val="single" w:sz="4" w:space="0" w:color="auto"/>
              <w:right w:val="single" w:sz="4" w:space="0" w:color="auto"/>
            </w:tcBorders>
            <w:noWrap/>
            <w:vAlign w:val="center"/>
            <w:hideMark/>
          </w:tcPr>
          <w:p w14:paraId="3D3BFF62" w14:textId="77777777" w:rsidR="00904872" w:rsidRPr="00904872" w:rsidRDefault="00904872" w:rsidP="00904872">
            <w:pPr>
              <w:jc w:val="right"/>
              <w:rPr>
                <w:rFonts w:ascii="Book Antiqua" w:eastAsia="Times New Roman" w:hAnsi="Book Antiqua" w:cs="Calibri"/>
                <w:i/>
                <w:iCs/>
                <w:color w:val="000000"/>
                <w:lang w:eastAsia="fr-FR"/>
              </w:rPr>
            </w:pPr>
            <w:r w:rsidRPr="00904872">
              <w:rPr>
                <w:rFonts w:ascii="Book Antiqua" w:eastAsia="Times New Roman" w:hAnsi="Book Antiqua" w:cs="Calibri"/>
                <w:i/>
                <w:iCs/>
                <w:color w:val="000000"/>
                <w:lang w:eastAsia="fr-FR"/>
              </w:rPr>
              <w:t> </w:t>
            </w:r>
          </w:p>
        </w:tc>
        <w:tc>
          <w:tcPr>
            <w:tcW w:w="906" w:type="pct"/>
            <w:tcBorders>
              <w:top w:val="nil"/>
              <w:left w:val="nil"/>
              <w:bottom w:val="single" w:sz="4" w:space="0" w:color="auto"/>
              <w:right w:val="single" w:sz="4" w:space="0" w:color="auto"/>
            </w:tcBorders>
            <w:noWrap/>
            <w:vAlign w:val="center"/>
            <w:hideMark/>
          </w:tcPr>
          <w:p w14:paraId="41C12A6B"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875" w:type="pct"/>
            <w:tcBorders>
              <w:top w:val="nil"/>
              <w:left w:val="nil"/>
              <w:bottom w:val="single" w:sz="4" w:space="0" w:color="auto"/>
              <w:right w:val="single" w:sz="8" w:space="0" w:color="auto"/>
            </w:tcBorders>
            <w:noWrap/>
            <w:vAlign w:val="center"/>
            <w:hideMark/>
          </w:tcPr>
          <w:p w14:paraId="2A852037"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r>
      <w:tr w:rsidR="00904872" w:rsidRPr="00904872" w14:paraId="3350EB1D"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1DC1EC56"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TOTAL RESSOURCE DISPONIBLE</w:t>
            </w:r>
          </w:p>
        </w:tc>
        <w:tc>
          <w:tcPr>
            <w:tcW w:w="906" w:type="pct"/>
            <w:tcBorders>
              <w:top w:val="nil"/>
              <w:left w:val="nil"/>
              <w:bottom w:val="single" w:sz="4" w:space="0" w:color="auto"/>
              <w:right w:val="single" w:sz="4" w:space="0" w:color="auto"/>
            </w:tcBorders>
            <w:noWrap/>
            <w:vAlign w:val="center"/>
            <w:hideMark/>
          </w:tcPr>
          <w:p w14:paraId="339456FD"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281 429 586   </w:t>
            </w:r>
          </w:p>
        </w:tc>
        <w:tc>
          <w:tcPr>
            <w:tcW w:w="875" w:type="pct"/>
            <w:tcBorders>
              <w:top w:val="nil"/>
              <w:left w:val="nil"/>
              <w:bottom w:val="single" w:sz="4" w:space="0" w:color="auto"/>
              <w:right w:val="single" w:sz="8" w:space="0" w:color="auto"/>
            </w:tcBorders>
            <w:noWrap/>
            <w:vAlign w:val="center"/>
            <w:hideMark/>
          </w:tcPr>
          <w:p w14:paraId="5CDA0725"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429 037   </w:t>
            </w:r>
          </w:p>
        </w:tc>
      </w:tr>
      <w:tr w:rsidR="00904872" w:rsidRPr="00904872" w14:paraId="39BB6505"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425874C0"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906" w:type="pct"/>
            <w:tcBorders>
              <w:top w:val="nil"/>
              <w:left w:val="nil"/>
              <w:bottom w:val="single" w:sz="4" w:space="0" w:color="auto"/>
              <w:right w:val="single" w:sz="4" w:space="0" w:color="auto"/>
            </w:tcBorders>
            <w:noWrap/>
            <w:vAlign w:val="center"/>
            <w:hideMark/>
          </w:tcPr>
          <w:p w14:paraId="5683D2F3"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w:t>
            </w:r>
          </w:p>
        </w:tc>
        <w:tc>
          <w:tcPr>
            <w:tcW w:w="875" w:type="pct"/>
            <w:tcBorders>
              <w:top w:val="nil"/>
              <w:left w:val="nil"/>
              <w:bottom w:val="single" w:sz="4" w:space="0" w:color="auto"/>
              <w:right w:val="single" w:sz="8" w:space="0" w:color="auto"/>
            </w:tcBorders>
            <w:noWrap/>
            <w:vAlign w:val="center"/>
            <w:hideMark/>
          </w:tcPr>
          <w:p w14:paraId="1A408F05"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w:t>
            </w:r>
          </w:p>
        </w:tc>
      </w:tr>
      <w:tr w:rsidR="00904872" w:rsidRPr="00904872" w14:paraId="2EACB1BB" w14:textId="77777777" w:rsidTr="005C4B48">
        <w:trPr>
          <w:trHeight w:val="310"/>
        </w:trPr>
        <w:tc>
          <w:tcPr>
            <w:tcW w:w="3219" w:type="pct"/>
            <w:tcBorders>
              <w:top w:val="nil"/>
              <w:left w:val="single" w:sz="8" w:space="0" w:color="auto"/>
              <w:bottom w:val="single" w:sz="4" w:space="0" w:color="auto"/>
              <w:right w:val="single" w:sz="4" w:space="0" w:color="auto"/>
            </w:tcBorders>
            <w:noWrap/>
            <w:vAlign w:val="center"/>
            <w:hideMark/>
          </w:tcPr>
          <w:p w14:paraId="651F3F1D"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EMPLOIS DE LA PERIODE</w:t>
            </w:r>
          </w:p>
        </w:tc>
        <w:tc>
          <w:tcPr>
            <w:tcW w:w="906" w:type="pct"/>
            <w:tcBorders>
              <w:top w:val="nil"/>
              <w:left w:val="nil"/>
              <w:bottom w:val="single" w:sz="4" w:space="0" w:color="auto"/>
              <w:right w:val="single" w:sz="4" w:space="0" w:color="auto"/>
            </w:tcBorders>
            <w:noWrap/>
            <w:vAlign w:val="center"/>
            <w:hideMark/>
          </w:tcPr>
          <w:p w14:paraId="7AC5349E"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215 183 646   </w:t>
            </w:r>
          </w:p>
        </w:tc>
        <w:tc>
          <w:tcPr>
            <w:tcW w:w="875" w:type="pct"/>
            <w:tcBorders>
              <w:top w:val="nil"/>
              <w:left w:val="nil"/>
              <w:bottom w:val="single" w:sz="4" w:space="0" w:color="auto"/>
              <w:right w:val="single" w:sz="8" w:space="0" w:color="auto"/>
            </w:tcBorders>
            <w:noWrap/>
            <w:vAlign w:val="center"/>
            <w:hideMark/>
          </w:tcPr>
          <w:p w14:paraId="7A807F9D"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328 045   </w:t>
            </w:r>
          </w:p>
        </w:tc>
      </w:tr>
      <w:tr w:rsidR="00904872" w:rsidRPr="00904872" w14:paraId="6C0A4699" w14:textId="77777777" w:rsidTr="005C4B48">
        <w:trPr>
          <w:trHeight w:val="310"/>
        </w:trPr>
        <w:tc>
          <w:tcPr>
            <w:tcW w:w="3219" w:type="pct"/>
            <w:tcBorders>
              <w:top w:val="nil"/>
              <w:left w:val="single" w:sz="8" w:space="0" w:color="auto"/>
              <w:bottom w:val="single" w:sz="4" w:space="0" w:color="auto"/>
              <w:right w:val="single" w:sz="4" w:space="0" w:color="auto"/>
            </w:tcBorders>
            <w:vAlign w:val="center"/>
            <w:hideMark/>
          </w:tcPr>
          <w:p w14:paraId="322B2AFA"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Activités transversales</w:t>
            </w:r>
          </w:p>
        </w:tc>
        <w:tc>
          <w:tcPr>
            <w:tcW w:w="906" w:type="pct"/>
            <w:tcBorders>
              <w:top w:val="nil"/>
              <w:left w:val="nil"/>
              <w:bottom w:val="single" w:sz="4" w:space="0" w:color="auto"/>
              <w:right w:val="single" w:sz="4" w:space="0" w:color="auto"/>
            </w:tcBorders>
            <w:noWrap/>
            <w:vAlign w:val="center"/>
            <w:hideMark/>
          </w:tcPr>
          <w:p w14:paraId="3D1C7CB5"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8 940 510   </w:t>
            </w:r>
          </w:p>
        </w:tc>
        <w:tc>
          <w:tcPr>
            <w:tcW w:w="875" w:type="pct"/>
            <w:tcBorders>
              <w:top w:val="nil"/>
              <w:left w:val="nil"/>
              <w:bottom w:val="single" w:sz="4" w:space="0" w:color="auto"/>
              <w:right w:val="single" w:sz="8" w:space="0" w:color="auto"/>
            </w:tcBorders>
            <w:noWrap/>
            <w:vAlign w:val="center"/>
            <w:hideMark/>
          </w:tcPr>
          <w:p w14:paraId="08E8F4F6"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13 630   </w:t>
            </w:r>
          </w:p>
        </w:tc>
      </w:tr>
      <w:tr w:rsidR="00904872" w:rsidRPr="00904872" w14:paraId="481A2789" w14:textId="77777777" w:rsidTr="005C4B48">
        <w:trPr>
          <w:trHeight w:val="620"/>
        </w:trPr>
        <w:tc>
          <w:tcPr>
            <w:tcW w:w="3219" w:type="pct"/>
            <w:tcBorders>
              <w:top w:val="nil"/>
              <w:left w:val="single" w:sz="8" w:space="0" w:color="auto"/>
              <w:bottom w:val="single" w:sz="4" w:space="0" w:color="auto"/>
              <w:right w:val="single" w:sz="4" w:space="0" w:color="auto"/>
            </w:tcBorders>
            <w:vAlign w:val="center"/>
            <w:hideMark/>
          </w:tcPr>
          <w:p w14:paraId="6143557D"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R1 Résultat 1. Les partis politiques sont plus inclusifs, plus attractifs, plus représentatifs et performants</w:t>
            </w:r>
          </w:p>
        </w:tc>
        <w:tc>
          <w:tcPr>
            <w:tcW w:w="906" w:type="pct"/>
            <w:tcBorders>
              <w:top w:val="nil"/>
              <w:left w:val="nil"/>
              <w:bottom w:val="single" w:sz="4" w:space="0" w:color="auto"/>
              <w:right w:val="single" w:sz="4" w:space="0" w:color="auto"/>
            </w:tcBorders>
            <w:noWrap/>
            <w:vAlign w:val="center"/>
            <w:hideMark/>
          </w:tcPr>
          <w:p w14:paraId="6F338AA1"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47 297 533   </w:t>
            </w:r>
          </w:p>
        </w:tc>
        <w:tc>
          <w:tcPr>
            <w:tcW w:w="875" w:type="pct"/>
            <w:tcBorders>
              <w:top w:val="nil"/>
              <w:left w:val="nil"/>
              <w:bottom w:val="single" w:sz="4" w:space="0" w:color="auto"/>
              <w:right w:val="single" w:sz="8" w:space="0" w:color="auto"/>
            </w:tcBorders>
            <w:noWrap/>
            <w:vAlign w:val="center"/>
            <w:hideMark/>
          </w:tcPr>
          <w:p w14:paraId="275A23BF"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72 105   </w:t>
            </w:r>
          </w:p>
        </w:tc>
      </w:tr>
      <w:tr w:rsidR="00904872" w:rsidRPr="00904872" w14:paraId="1A7B6D40" w14:textId="77777777" w:rsidTr="005C4B48">
        <w:trPr>
          <w:trHeight w:val="930"/>
        </w:trPr>
        <w:tc>
          <w:tcPr>
            <w:tcW w:w="3219" w:type="pct"/>
            <w:tcBorders>
              <w:top w:val="nil"/>
              <w:left w:val="single" w:sz="8" w:space="0" w:color="auto"/>
              <w:bottom w:val="single" w:sz="4" w:space="0" w:color="auto"/>
              <w:right w:val="single" w:sz="4" w:space="0" w:color="auto"/>
            </w:tcBorders>
            <w:vAlign w:val="center"/>
            <w:hideMark/>
          </w:tcPr>
          <w:p w14:paraId="2E6B81BF"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(R2) : L’environnement partisan et électoral béninois est favorable au rayonnement et à l’action efficace des partis politiques.</w:t>
            </w:r>
          </w:p>
        </w:tc>
        <w:tc>
          <w:tcPr>
            <w:tcW w:w="906" w:type="pct"/>
            <w:tcBorders>
              <w:top w:val="nil"/>
              <w:left w:val="nil"/>
              <w:bottom w:val="single" w:sz="4" w:space="0" w:color="auto"/>
              <w:right w:val="single" w:sz="4" w:space="0" w:color="auto"/>
            </w:tcBorders>
            <w:noWrap/>
            <w:vAlign w:val="center"/>
            <w:hideMark/>
          </w:tcPr>
          <w:p w14:paraId="6D5D4118"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43 982 882   </w:t>
            </w:r>
          </w:p>
        </w:tc>
        <w:tc>
          <w:tcPr>
            <w:tcW w:w="875" w:type="pct"/>
            <w:tcBorders>
              <w:top w:val="nil"/>
              <w:left w:val="nil"/>
              <w:bottom w:val="single" w:sz="4" w:space="0" w:color="auto"/>
              <w:right w:val="single" w:sz="8" w:space="0" w:color="auto"/>
            </w:tcBorders>
            <w:noWrap/>
            <w:vAlign w:val="center"/>
            <w:hideMark/>
          </w:tcPr>
          <w:p w14:paraId="2D972537"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67 051   </w:t>
            </w:r>
          </w:p>
        </w:tc>
      </w:tr>
      <w:tr w:rsidR="00904872" w:rsidRPr="00904872" w14:paraId="1F45E85B" w14:textId="77777777" w:rsidTr="005C4B48">
        <w:trPr>
          <w:trHeight w:val="620"/>
        </w:trPr>
        <w:tc>
          <w:tcPr>
            <w:tcW w:w="3219" w:type="pct"/>
            <w:tcBorders>
              <w:top w:val="nil"/>
              <w:left w:val="single" w:sz="8" w:space="0" w:color="auto"/>
              <w:bottom w:val="single" w:sz="4" w:space="0" w:color="auto"/>
              <w:right w:val="single" w:sz="4" w:space="0" w:color="auto"/>
            </w:tcBorders>
            <w:vAlign w:val="center"/>
            <w:hideMark/>
          </w:tcPr>
          <w:p w14:paraId="0C1AE18E"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(R3) : Le dialogue interpartis est devenu un outil de prévention et règlement des crises politiques au Bénin</w:t>
            </w:r>
          </w:p>
        </w:tc>
        <w:tc>
          <w:tcPr>
            <w:tcW w:w="906" w:type="pct"/>
            <w:tcBorders>
              <w:top w:val="nil"/>
              <w:left w:val="nil"/>
              <w:bottom w:val="single" w:sz="4" w:space="0" w:color="auto"/>
              <w:right w:val="single" w:sz="4" w:space="0" w:color="auto"/>
            </w:tcBorders>
            <w:noWrap/>
            <w:vAlign w:val="center"/>
            <w:hideMark/>
          </w:tcPr>
          <w:p w14:paraId="7E4BCBFD"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9 181 172   </w:t>
            </w:r>
          </w:p>
        </w:tc>
        <w:tc>
          <w:tcPr>
            <w:tcW w:w="875" w:type="pct"/>
            <w:tcBorders>
              <w:top w:val="nil"/>
              <w:left w:val="nil"/>
              <w:bottom w:val="single" w:sz="4" w:space="0" w:color="auto"/>
              <w:right w:val="single" w:sz="8" w:space="0" w:color="auto"/>
            </w:tcBorders>
            <w:noWrap/>
            <w:vAlign w:val="center"/>
            <w:hideMark/>
          </w:tcPr>
          <w:p w14:paraId="3CDDAD16"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13 997   </w:t>
            </w:r>
          </w:p>
        </w:tc>
      </w:tr>
      <w:tr w:rsidR="00904872" w:rsidRPr="00904872" w14:paraId="4AA4AAE5" w14:textId="77777777" w:rsidTr="005C4B48">
        <w:trPr>
          <w:trHeight w:val="310"/>
        </w:trPr>
        <w:tc>
          <w:tcPr>
            <w:tcW w:w="3219" w:type="pct"/>
            <w:tcBorders>
              <w:top w:val="nil"/>
              <w:left w:val="single" w:sz="8" w:space="0" w:color="auto"/>
              <w:bottom w:val="single" w:sz="4" w:space="0" w:color="auto"/>
              <w:right w:val="single" w:sz="4" w:space="0" w:color="auto"/>
            </w:tcBorders>
            <w:vAlign w:val="center"/>
            <w:hideMark/>
          </w:tcPr>
          <w:p w14:paraId="57EFA9D9"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Investissement</w:t>
            </w:r>
          </w:p>
        </w:tc>
        <w:tc>
          <w:tcPr>
            <w:tcW w:w="906" w:type="pct"/>
            <w:tcBorders>
              <w:top w:val="nil"/>
              <w:left w:val="nil"/>
              <w:bottom w:val="single" w:sz="4" w:space="0" w:color="auto"/>
              <w:right w:val="single" w:sz="4" w:space="0" w:color="auto"/>
            </w:tcBorders>
            <w:noWrap/>
            <w:vAlign w:val="center"/>
            <w:hideMark/>
          </w:tcPr>
          <w:p w14:paraId="2053CBEA"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     </w:t>
            </w:r>
          </w:p>
        </w:tc>
        <w:tc>
          <w:tcPr>
            <w:tcW w:w="875" w:type="pct"/>
            <w:tcBorders>
              <w:top w:val="nil"/>
              <w:left w:val="nil"/>
              <w:bottom w:val="single" w:sz="4" w:space="0" w:color="auto"/>
              <w:right w:val="single" w:sz="8" w:space="0" w:color="auto"/>
            </w:tcBorders>
            <w:noWrap/>
            <w:vAlign w:val="center"/>
            <w:hideMark/>
          </w:tcPr>
          <w:p w14:paraId="49C2A0EE"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     </w:t>
            </w:r>
          </w:p>
        </w:tc>
      </w:tr>
      <w:tr w:rsidR="00904872" w:rsidRPr="00904872" w14:paraId="7E437507" w14:textId="77777777" w:rsidTr="005C4B48">
        <w:trPr>
          <w:trHeight w:val="310"/>
        </w:trPr>
        <w:tc>
          <w:tcPr>
            <w:tcW w:w="3219" w:type="pct"/>
            <w:tcBorders>
              <w:top w:val="nil"/>
              <w:left w:val="single" w:sz="8" w:space="0" w:color="auto"/>
              <w:bottom w:val="single" w:sz="4" w:space="0" w:color="auto"/>
              <w:right w:val="single" w:sz="4" w:space="0" w:color="auto"/>
            </w:tcBorders>
            <w:vAlign w:val="center"/>
            <w:hideMark/>
          </w:tcPr>
          <w:p w14:paraId="2A3CE444"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Fonctionnement et RH</w:t>
            </w:r>
          </w:p>
        </w:tc>
        <w:tc>
          <w:tcPr>
            <w:tcW w:w="906" w:type="pct"/>
            <w:tcBorders>
              <w:top w:val="nil"/>
              <w:left w:val="nil"/>
              <w:bottom w:val="single" w:sz="4" w:space="0" w:color="auto"/>
              <w:right w:val="single" w:sz="4" w:space="0" w:color="auto"/>
            </w:tcBorders>
            <w:noWrap/>
            <w:vAlign w:val="center"/>
            <w:hideMark/>
          </w:tcPr>
          <w:p w14:paraId="7D0DCCB5"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89 441 802   </w:t>
            </w:r>
          </w:p>
        </w:tc>
        <w:tc>
          <w:tcPr>
            <w:tcW w:w="875" w:type="pct"/>
            <w:tcBorders>
              <w:top w:val="nil"/>
              <w:left w:val="nil"/>
              <w:bottom w:val="single" w:sz="4" w:space="0" w:color="auto"/>
              <w:right w:val="single" w:sz="8" w:space="0" w:color="auto"/>
            </w:tcBorders>
            <w:noWrap/>
            <w:vAlign w:val="center"/>
            <w:hideMark/>
          </w:tcPr>
          <w:p w14:paraId="15732AF3"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136 353   </w:t>
            </w:r>
          </w:p>
        </w:tc>
      </w:tr>
      <w:tr w:rsidR="00904872" w:rsidRPr="00904872" w14:paraId="787AC2B5" w14:textId="77777777" w:rsidTr="005C4B48">
        <w:trPr>
          <w:trHeight w:val="310"/>
        </w:trPr>
        <w:tc>
          <w:tcPr>
            <w:tcW w:w="3219" w:type="pct"/>
            <w:tcBorders>
              <w:top w:val="nil"/>
              <w:left w:val="single" w:sz="8" w:space="0" w:color="auto"/>
              <w:bottom w:val="single" w:sz="4" w:space="0" w:color="auto"/>
              <w:right w:val="single" w:sz="4" w:space="0" w:color="auto"/>
            </w:tcBorders>
            <w:vAlign w:val="center"/>
            <w:hideMark/>
          </w:tcPr>
          <w:p w14:paraId="7CED9C0E" w14:textId="77777777" w:rsidR="00904872" w:rsidRPr="00904872" w:rsidRDefault="00904872" w:rsidP="00904872">
            <w:pPr>
              <w:rPr>
                <w:rFonts w:ascii="Book Antiqua" w:eastAsia="Times New Roman" w:hAnsi="Book Antiqua" w:cs="Calibri"/>
                <w:lang w:eastAsia="fr-FR"/>
              </w:rPr>
            </w:pPr>
            <w:r w:rsidRPr="00904872">
              <w:rPr>
                <w:rFonts w:ascii="Book Antiqua" w:eastAsia="Times New Roman" w:hAnsi="Book Antiqua" w:cs="Calibri"/>
                <w:lang w:eastAsia="fr-FR"/>
              </w:rPr>
              <w:t>Coûts indirects</w:t>
            </w:r>
          </w:p>
        </w:tc>
        <w:tc>
          <w:tcPr>
            <w:tcW w:w="906" w:type="pct"/>
            <w:tcBorders>
              <w:top w:val="nil"/>
              <w:left w:val="nil"/>
              <w:bottom w:val="single" w:sz="4" w:space="0" w:color="auto"/>
              <w:right w:val="single" w:sz="4" w:space="0" w:color="auto"/>
            </w:tcBorders>
            <w:noWrap/>
            <w:vAlign w:val="center"/>
            <w:hideMark/>
          </w:tcPr>
          <w:p w14:paraId="4288B182"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16 339 747   </w:t>
            </w:r>
          </w:p>
        </w:tc>
        <w:tc>
          <w:tcPr>
            <w:tcW w:w="875" w:type="pct"/>
            <w:tcBorders>
              <w:top w:val="nil"/>
              <w:left w:val="nil"/>
              <w:bottom w:val="single" w:sz="4" w:space="0" w:color="auto"/>
              <w:right w:val="single" w:sz="8" w:space="0" w:color="auto"/>
            </w:tcBorders>
            <w:noWrap/>
            <w:vAlign w:val="center"/>
            <w:hideMark/>
          </w:tcPr>
          <w:p w14:paraId="110E9BC6" w14:textId="77777777" w:rsidR="00904872" w:rsidRPr="00904872" w:rsidRDefault="00904872" w:rsidP="00904872">
            <w:pPr>
              <w:rPr>
                <w:rFonts w:ascii="Book Antiqua" w:eastAsia="Times New Roman" w:hAnsi="Book Antiqua" w:cs="Calibri"/>
                <w:color w:val="000000"/>
                <w:lang w:eastAsia="fr-FR"/>
              </w:rPr>
            </w:pPr>
            <w:r w:rsidRPr="00904872">
              <w:rPr>
                <w:rFonts w:ascii="Book Antiqua" w:eastAsia="Times New Roman" w:hAnsi="Book Antiqua" w:cs="Calibri"/>
                <w:color w:val="000000"/>
                <w:lang w:eastAsia="fr-FR"/>
              </w:rPr>
              <w:t xml:space="preserve">               24 910   </w:t>
            </w:r>
          </w:p>
        </w:tc>
      </w:tr>
      <w:tr w:rsidR="00904872" w:rsidRPr="00904872" w14:paraId="0C32F07F" w14:textId="77777777" w:rsidTr="005C4B48">
        <w:trPr>
          <w:trHeight w:val="320"/>
        </w:trPr>
        <w:tc>
          <w:tcPr>
            <w:tcW w:w="3219" w:type="pct"/>
            <w:tcBorders>
              <w:top w:val="nil"/>
              <w:left w:val="single" w:sz="8" w:space="0" w:color="auto"/>
              <w:bottom w:val="single" w:sz="8" w:space="0" w:color="auto"/>
              <w:right w:val="single" w:sz="4" w:space="0" w:color="auto"/>
            </w:tcBorders>
            <w:noWrap/>
            <w:vAlign w:val="center"/>
            <w:hideMark/>
          </w:tcPr>
          <w:p w14:paraId="188C9A69"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SOLDE DISPONIBLE AU 31/12/2025</w:t>
            </w:r>
          </w:p>
        </w:tc>
        <w:tc>
          <w:tcPr>
            <w:tcW w:w="906" w:type="pct"/>
            <w:tcBorders>
              <w:top w:val="nil"/>
              <w:left w:val="nil"/>
              <w:bottom w:val="single" w:sz="8" w:space="0" w:color="auto"/>
              <w:right w:val="single" w:sz="4" w:space="0" w:color="auto"/>
            </w:tcBorders>
            <w:noWrap/>
            <w:vAlign w:val="center"/>
            <w:hideMark/>
          </w:tcPr>
          <w:p w14:paraId="650C5CF9"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66 245 940   </w:t>
            </w:r>
          </w:p>
        </w:tc>
        <w:tc>
          <w:tcPr>
            <w:tcW w:w="875" w:type="pct"/>
            <w:tcBorders>
              <w:top w:val="nil"/>
              <w:left w:val="nil"/>
              <w:bottom w:val="single" w:sz="8" w:space="0" w:color="auto"/>
              <w:right w:val="single" w:sz="8" w:space="0" w:color="auto"/>
            </w:tcBorders>
            <w:noWrap/>
            <w:vAlign w:val="center"/>
            <w:hideMark/>
          </w:tcPr>
          <w:p w14:paraId="2657AA74" w14:textId="77777777" w:rsidR="00904872" w:rsidRPr="00904872" w:rsidRDefault="00904872" w:rsidP="00904872">
            <w:pPr>
              <w:rPr>
                <w:rFonts w:ascii="Book Antiqua" w:eastAsia="Times New Roman" w:hAnsi="Book Antiqua" w:cs="Calibri"/>
                <w:b/>
                <w:bCs/>
                <w:color w:val="000000"/>
                <w:lang w:eastAsia="fr-FR"/>
              </w:rPr>
            </w:pPr>
            <w:r w:rsidRPr="00904872">
              <w:rPr>
                <w:rFonts w:ascii="Book Antiqua" w:eastAsia="Times New Roman" w:hAnsi="Book Antiqua" w:cs="Calibri"/>
                <w:b/>
                <w:bCs/>
                <w:color w:val="000000"/>
                <w:lang w:eastAsia="fr-FR"/>
              </w:rPr>
              <w:t xml:space="preserve">             100 991   </w:t>
            </w:r>
          </w:p>
        </w:tc>
      </w:tr>
    </w:tbl>
    <w:p w14:paraId="2E3069BB" w14:textId="1254F078" w:rsidR="006C3A79" w:rsidRDefault="006C3A79" w:rsidP="00FA621C">
      <w:pPr>
        <w:spacing w:line="360" w:lineRule="auto"/>
        <w:jc w:val="both"/>
        <w:rPr>
          <w:rFonts w:ascii="Book Antiqua" w:hAnsi="Book Antiqua" w:cs="Tahoma"/>
        </w:rPr>
      </w:pPr>
    </w:p>
    <w:p w14:paraId="5F99F4A6" w14:textId="2B364186" w:rsidR="006C3A79" w:rsidRPr="00506B75" w:rsidRDefault="006C3A79" w:rsidP="006C3A79">
      <w:pPr>
        <w:spacing w:line="360" w:lineRule="auto"/>
        <w:jc w:val="center"/>
        <w:rPr>
          <w:rFonts w:ascii="Book Antiqua" w:hAnsi="Book Antiqua" w:cs="Tahoma"/>
          <w:b/>
          <w:bCs/>
          <w:sz w:val="26"/>
          <w:szCs w:val="26"/>
        </w:rPr>
      </w:pPr>
      <w:r w:rsidRPr="00506B75">
        <w:rPr>
          <w:b/>
          <w:bCs/>
          <w:sz w:val="26"/>
          <w:szCs w:val="26"/>
        </w:rPr>
        <w:t xml:space="preserve">Graphique de </w:t>
      </w:r>
      <w:r w:rsidR="00AD3342">
        <w:rPr>
          <w:b/>
          <w:bCs/>
          <w:sz w:val="26"/>
          <w:szCs w:val="26"/>
        </w:rPr>
        <w:t>ventilations</w:t>
      </w:r>
      <w:r w:rsidRPr="00506B75">
        <w:rPr>
          <w:b/>
          <w:bCs/>
          <w:sz w:val="26"/>
          <w:szCs w:val="26"/>
        </w:rPr>
        <w:t xml:space="preserve"> des dépenses par rubriques pour le compte de l’année 202</w:t>
      </w:r>
      <w:r w:rsidR="000D7F64">
        <w:rPr>
          <w:b/>
          <w:bCs/>
          <w:sz w:val="26"/>
          <w:szCs w:val="26"/>
        </w:rPr>
        <w:t>5</w:t>
      </w:r>
    </w:p>
    <w:p w14:paraId="56FA1C84" w14:textId="5424E159" w:rsidR="006C3A79" w:rsidRPr="00506B75" w:rsidRDefault="006C3A79" w:rsidP="00FA621C">
      <w:pPr>
        <w:spacing w:line="360" w:lineRule="auto"/>
        <w:jc w:val="both"/>
        <w:rPr>
          <w:rFonts w:ascii="Book Antiqua" w:hAnsi="Book Antiqua" w:cs="Tahoma"/>
          <w:sz w:val="26"/>
          <w:szCs w:val="26"/>
        </w:rPr>
      </w:pPr>
    </w:p>
    <w:p w14:paraId="05CBDB87" w14:textId="77777777" w:rsidR="006C3A79" w:rsidRPr="006C3A79" w:rsidRDefault="006C3A79" w:rsidP="00FA621C">
      <w:pPr>
        <w:spacing w:line="360" w:lineRule="auto"/>
        <w:jc w:val="both"/>
        <w:rPr>
          <w:rFonts w:ascii="Book Antiqua" w:hAnsi="Book Antiqua" w:cs="Tahoma"/>
        </w:rPr>
      </w:pPr>
    </w:p>
    <w:p w14:paraId="7413A281" w14:textId="7E00FB10" w:rsidR="006C3A79" w:rsidRDefault="006C3A79" w:rsidP="00FA621C">
      <w:pPr>
        <w:spacing w:line="360" w:lineRule="auto"/>
        <w:jc w:val="both"/>
        <w:rPr>
          <w:rFonts w:ascii="Book Antiqua" w:hAnsi="Book Antiqua" w:cs="Tahoma"/>
        </w:rPr>
      </w:pPr>
    </w:p>
    <w:p w14:paraId="430E89E2" w14:textId="77777777" w:rsidR="006C3A79" w:rsidRPr="006C3A79" w:rsidRDefault="006C3A79" w:rsidP="006C3A79">
      <w:pPr>
        <w:rPr>
          <w:rFonts w:ascii="Book Antiqua" w:hAnsi="Book Antiqua" w:cs="Tahoma"/>
        </w:rPr>
      </w:pPr>
    </w:p>
    <w:p w14:paraId="056E7DDF" w14:textId="77777777" w:rsidR="006C3A79" w:rsidRPr="006C3A79" w:rsidRDefault="006C3A79" w:rsidP="006C3A79">
      <w:pPr>
        <w:rPr>
          <w:rFonts w:ascii="Book Antiqua" w:hAnsi="Book Antiqua" w:cs="Tahoma"/>
        </w:rPr>
      </w:pPr>
    </w:p>
    <w:p w14:paraId="6A161255" w14:textId="77777777" w:rsidR="006C3A79" w:rsidRPr="006C3A79" w:rsidRDefault="006C3A79" w:rsidP="006C3A79">
      <w:pPr>
        <w:rPr>
          <w:rFonts w:ascii="Book Antiqua" w:hAnsi="Book Antiqua" w:cs="Tahoma"/>
        </w:rPr>
      </w:pPr>
    </w:p>
    <w:p w14:paraId="48EACFC0" w14:textId="77777777" w:rsidR="006C3A79" w:rsidRPr="006C3A79" w:rsidRDefault="006C3A79" w:rsidP="006C3A79">
      <w:pPr>
        <w:rPr>
          <w:rFonts w:ascii="Book Antiqua" w:hAnsi="Book Antiqua" w:cs="Tahoma"/>
        </w:rPr>
      </w:pPr>
    </w:p>
    <w:p w14:paraId="33FD31AA" w14:textId="77777777" w:rsidR="006C3A79" w:rsidRPr="006C3A79" w:rsidRDefault="006C3A79" w:rsidP="006C3A79">
      <w:pPr>
        <w:rPr>
          <w:rFonts w:ascii="Book Antiqua" w:hAnsi="Book Antiqua" w:cs="Tahoma"/>
        </w:rPr>
      </w:pPr>
    </w:p>
    <w:p w14:paraId="762C6152" w14:textId="77777777" w:rsidR="006C3A79" w:rsidRPr="006C3A79" w:rsidRDefault="006C3A79" w:rsidP="006C3A79">
      <w:pPr>
        <w:rPr>
          <w:rFonts w:ascii="Book Antiqua" w:hAnsi="Book Antiqua" w:cs="Tahoma"/>
        </w:rPr>
      </w:pPr>
    </w:p>
    <w:p w14:paraId="1DFE636C" w14:textId="77777777" w:rsidR="006C3A79" w:rsidRPr="006C3A79" w:rsidRDefault="006C3A79" w:rsidP="006C3A79">
      <w:pPr>
        <w:rPr>
          <w:rFonts w:ascii="Book Antiqua" w:hAnsi="Book Antiqua" w:cs="Tahoma"/>
        </w:rPr>
      </w:pPr>
    </w:p>
    <w:p w14:paraId="78A5BA09" w14:textId="77777777" w:rsidR="006C3A79" w:rsidRPr="006C3A79" w:rsidRDefault="006C3A79" w:rsidP="006C3A79">
      <w:pPr>
        <w:rPr>
          <w:rFonts w:ascii="Book Antiqua" w:hAnsi="Book Antiqua" w:cs="Tahoma"/>
        </w:rPr>
      </w:pPr>
    </w:p>
    <w:p w14:paraId="679B19B4" w14:textId="7E51EB66" w:rsidR="006C3A79" w:rsidRPr="006C3A79" w:rsidRDefault="00062323" w:rsidP="006C3A79">
      <w:pPr>
        <w:rPr>
          <w:rFonts w:ascii="Book Antiqua" w:hAnsi="Book Antiqua" w:cs="Tahoma"/>
        </w:rPr>
      </w:pPr>
      <w:r>
        <w:rPr>
          <w:noProof/>
        </w:rPr>
        <w:drawing>
          <wp:anchor distT="0" distB="0" distL="114300" distR="114300" simplePos="0" relativeHeight="251658240" behindDoc="0" locked="0" layoutInCell="1" allowOverlap="1" wp14:anchorId="5A2771EB" wp14:editId="15A066DF">
            <wp:simplePos x="0" y="0"/>
            <wp:positionH relativeFrom="page">
              <wp:align>center</wp:align>
            </wp:positionH>
            <wp:positionV relativeFrom="paragraph">
              <wp:posOffset>9525</wp:posOffset>
            </wp:positionV>
            <wp:extent cx="4572000" cy="2743200"/>
            <wp:effectExtent l="0" t="0" r="0" b="0"/>
            <wp:wrapSquare wrapText="bothSides"/>
            <wp:docPr id="370930502" name="Graphique 1">
              <a:extLst xmlns:a="http://schemas.openxmlformats.org/drawingml/2006/main">
                <a:ext uri="{FF2B5EF4-FFF2-40B4-BE49-F238E27FC236}">
                  <a16:creationId xmlns:a16="http://schemas.microsoft.com/office/drawing/2014/main" id="{864035F8-8A02-0366-7E44-0196BB5E9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0BE3B6" w14:textId="5898F092" w:rsidR="006C3A79" w:rsidRPr="006C3A79" w:rsidRDefault="006C3A79" w:rsidP="006C3A79">
      <w:pPr>
        <w:rPr>
          <w:rFonts w:ascii="Book Antiqua" w:hAnsi="Book Antiqua" w:cs="Tahoma"/>
        </w:rPr>
      </w:pPr>
    </w:p>
    <w:p w14:paraId="7AEBD3EC" w14:textId="77777777" w:rsidR="006C3A79" w:rsidRPr="006C3A79" w:rsidRDefault="006C3A79" w:rsidP="006C3A79">
      <w:pPr>
        <w:rPr>
          <w:rFonts w:ascii="Book Antiqua" w:hAnsi="Book Antiqua" w:cs="Tahoma"/>
        </w:rPr>
      </w:pPr>
    </w:p>
    <w:p w14:paraId="311F03F0" w14:textId="77777777" w:rsidR="006C3A79" w:rsidRPr="006C3A79" w:rsidRDefault="006C3A79" w:rsidP="006C3A79">
      <w:pPr>
        <w:rPr>
          <w:rFonts w:ascii="Book Antiqua" w:hAnsi="Book Antiqua" w:cs="Tahoma"/>
        </w:rPr>
      </w:pPr>
    </w:p>
    <w:p w14:paraId="6C915B09" w14:textId="77777777" w:rsidR="006C3A79" w:rsidRPr="006C3A79" w:rsidRDefault="006C3A79" w:rsidP="006C3A79">
      <w:pPr>
        <w:rPr>
          <w:rFonts w:ascii="Book Antiqua" w:hAnsi="Book Antiqua" w:cs="Tahoma"/>
        </w:rPr>
      </w:pPr>
    </w:p>
    <w:p w14:paraId="7FBBCB17" w14:textId="77777777" w:rsidR="006C3A79" w:rsidRPr="006C3A79" w:rsidRDefault="006C3A79" w:rsidP="006C3A79">
      <w:pPr>
        <w:rPr>
          <w:rFonts w:ascii="Book Antiqua" w:hAnsi="Book Antiqua" w:cs="Tahoma"/>
        </w:rPr>
      </w:pPr>
    </w:p>
    <w:p w14:paraId="25087FEC" w14:textId="77777777" w:rsidR="006C3A79" w:rsidRDefault="006C3A79" w:rsidP="006C3A79">
      <w:pPr>
        <w:rPr>
          <w:rFonts w:ascii="Book Antiqua" w:hAnsi="Book Antiqua" w:cs="Tahoma"/>
        </w:rPr>
      </w:pPr>
    </w:p>
    <w:p w14:paraId="3F2F1E3C" w14:textId="77777777" w:rsidR="003112D1" w:rsidRDefault="003112D1" w:rsidP="006C3A79">
      <w:pPr>
        <w:rPr>
          <w:rFonts w:ascii="Book Antiqua" w:hAnsi="Book Antiqua" w:cs="Tahoma"/>
        </w:rPr>
      </w:pPr>
    </w:p>
    <w:p w14:paraId="77C100C5" w14:textId="77777777" w:rsidR="003112D1" w:rsidRDefault="003112D1" w:rsidP="006C3A79">
      <w:pPr>
        <w:rPr>
          <w:rFonts w:ascii="Book Antiqua" w:hAnsi="Book Antiqua" w:cs="Tahoma"/>
        </w:rPr>
      </w:pPr>
    </w:p>
    <w:p w14:paraId="4D5982EF" w14:textId="77777777" w:rsidR="003112D1" w:rsidRDefault="003112D1" w:rsidP="006C3A79">
      <w:pPr>
        <w:rPr>
          <w:rFonts w:ascii="Book Antiqua" w:hAnsi="Book Antiqua" w:cs="Tahoma"/>
        </w:rPr>
      </w:pPr>
    </w:p>
    <w:p w14:paraId="64418D97" w14:textId="61F6E0A6" w:rsidR="006C3A79" w:rsidRDefault="006C3A79" w:rsidP="00AD3342">
      <w:pPr>
        <w:spacing w:line="360" w:lineRule="auto"/>
        <w:jc w:val="both"/>
        <w:rPr>
          <w:rFonts w:ascii="Book Antiqua" w:hAnsi="Book Antiqua" w:cs="Tahoma"/>
          <w:b/>
          <w:bCs/>
          <w:sz w:val="28"/>
          <w:szCs w:val="28"/>
        </w:rPr>
      </w:pPr>
    </w:p>
    <w:p w14:paraId="2DD14AE1" w14:textId="77777777" w:rsidR="00AD3342" w:rsidRDefault="00AD3342" w:rsidP="00AD3342">
      <w:pPr>
        <w:spacing w:line="360" w:lineRule="auto"/>
        <w:jc w:val="both"/>
        <w:rPr>
          <w:rFonts w:ascii="Book Antiqua" w:hAnsi="Book Antiqua" w:cs="Tahoma"/>
          <w:b/>
          <w:bCs/>
          <w:sz w:val="28"/>
          <w:szCs w:val="28"/>
        </w:rPr>
      </w:pPr>
    </w:p>
    <w:p w14:paraId="45C56A60" w14:textId="77777777" w:rsidR="00AD3342" w:rsidRPr="00AD3342" w:rsidRDefault="00AD3342" w:rsidP="00AD3342">
      <w:pPr>
        <w:spacing w:line="360" w:lineRule="auto"/>
        <w:jc w:val="both"/>
        <w:rPr>
          <w:rFonts w:ascii="Book Antiqua" w:hAnsi="Book Antiqua" w:cs="Tahoma"/>
          <w:b/>
          <w:bCs/>
          <w:sz w:val="28"/>
          <w:szCs w:val="28"/>
        </w:rPr>
      </w:pPr>
    </w:p>
    <w:p w14:paraId="1910B739" w14:textId="77777777" w:rsidR="00AD3342" w:rsidRPr="00051D3F" w:rsidRDefault="00AD3342" w:rsidP="00AD3342">
      <w:pPr>
        <w:tabs>
          <w:tab w:val="left" w:pos="1632"/>
        </w:tabs>
        <w:jc w:val="both"/>
        <w:rPr>
          <w:rFonts w:ascii="Book Antiqua" w:hAnsi="Book Antiqua" w:cs="Tahoma"/>
          <w:b/>
          <w:bCs/>
        </w:rPr>
      </w:pPr>
      <w:r w:rsidRPr="00051D3F">
        <w:rPr>
          <w:rFonts w:ascii="Book Antiqua" w:hAnsi="Book Antiqua" w:cs="Tahoma"/>
          <w:b/>
          <w:bCs/>
        </w:rPr>
        <w:t>Analyse approfondie du Tableau 1 – Ventilation des dépenses 2025</w:t>
      </w:r>
    </w:p>
    <w:p w14:paraId="3151B536" w14:textId="77777777" w:rsidR="00AD3342" w:rsidRPr="00AD3342" w:rsidRDefault="00AD3342" w:rsidP="00AD3342">
      <w:pPr>
        <w:tabs>
          <w:tab w:val="left" w:pos="1632"/>
        </w:tabs>
        <w:jc w:val="both"/>
        <w:rPr>
          <w:rFonts w:ascii="Book Antiqua" w:hAnsi="Book Antiqua" w:cs="Tahoma"/>
        </w:rPr>
      </w:pPr>
    </w:p>
    <w:p w14:paraId="18652BDA" w14:textId="5B1F54C2" w:rsidR="00A94FE1" w:rsidRPr="00A94FE1" w:rsidRDefault="00A94FE1" w:rsidP="00051D3F">
      <w:pPr>
        <w:tabs>
          <w:tab w:val="left" w:pos="1632"/>
        </w:tabs>
        <w:spacing w:line="360" w:lineRule="auto"/>
        <w:jc w:val="both"/>
        <w:rPr>
          <w:rFonts w:ascii="Book Antiqua" w:hAnsi="Book Antiqua" w:cs="Tahoma"/>
        </w:rPr>
      </w:pPr>
      <w:r w:rsidRPr="00A94FE1">
        <w:rPr>
          <w:rFonts w:ascii="Book Antiqua" w:hAnsi="Book Antiqua" w:cs="Tahoma"/>
        </w:rPr>
        <w:t>En 2025, la répartition des dépenses du programme RAPPID a été planifiée pour soutenir efficacement ses objectifs stratégiques et garantir une gestion opérationnelle optimale.</w:t>
      </w:r>
    </w:p>
    <w:p w14:paraId="7C50004A" w14:textId="77777777" w:rsidR="00A94FE1" w:rsidRPr="00A94FE1" w:rsidRDefault="00A94FE1" w:rsidP="00051D3F">
      <w:pPr>
        <w:numPr>
          <w:ilvl w:val="0"/>
          <w:numId w:val="29"/>
        </w:numPr>
        <w:tabs>
          <w:tab w:val="left" w:pos="1632"/>
        </w:tabs>
        <w:spacing w:line="360" w:lineRule="auto"/>
        <w:jc w:val="both"/>
        <w:rPr>
          <w:rFonts w:ascii="Book Antiqua" w:hAnsi="Book Antiqua" w:cs="Tahoma"/>
        </w:rPr>
      </w:pPr>
      <w:r w:rsidRPr="00A94FE1">
        <w:rPr>
          <w:rFonts w:ascii="Book Antiqua" w:hAnsi="Book Antiqua" w:cs="Tahoma"/>
          <w:b/>
          <w:bCs/>
        </w:rPr>
        <w:t>Résultats stratégiques</w:t>
      </w:r>
      <w:r w:rsidRPr="00A94FE1">
        <w:rPr>
          <w:rFonts w:ascii="Book Antiqua" w:hAnsi="Book Antiqua" w:cs="Tahoma"/>
        </w:rPr>
        <w:t xml:space="preserve"> : Les dépenses liées aux Résultats 1 et 2 représentent la part la plus importante du budget, avec </w:t>
      </w:r>
      <w:r w:rsidRPr="00A94FE1">
        <w:rPr>
          <w:rFonts w:ascii="Book Antiqua" w:hAnsi="Book Antiqua" w:cs="Tahoma"/>
          <w:b/>
          <w:bCs/>
        </w:rPr>
        <w:t>21,98 %</w:t>
      </w:r>
      <w:r w:rsidRPr="00A94FE1">
        <w:rPr>
          <w:rFonts w:ascii="Book Antiqua" w:hAnsi="Book Antiqua" w:cs="Tahoma"/>
        </w:rPr>
        <w:t xml:space="preserve"> pour R1 et </w:t>
      </w:r>
      <w:r w:rsidRPr="00A94FE1">
        <w:rPr>
          <w:rFonts w:ascii="Book Antiqua" w:hAnsi="Book Antiqua" w:cs="Tahoma"/>
          <w:b/>
          <w:bCs/>
        </w:rPr>
        <w:t>20,44 %</w:t>
      </w:r>
      <w:r w:rsidRPr="00A94FE1">
        <w:rPr>
          <w:rFonts w:ascii="Book Antiqua" w:hAnsi="Book Antiqua" w:cs="Tahoma"/>
        </w:rPr>
        <w:t xml:space="preserve"> pour R2. Cela reflète l’importance accordée à l’amélioration de l’inclusivité, de la performance des partis politiques et au renforcement de l’environnement partisan. Le Résultat 3, axé sur le dialogue interpartis comme outil de prévention des crises, a reçu </w:t>
      </w:r>
      <w:r w:rsidRPr="00A94FE1">
        <w:rPr>
          <w:rFonts w:ascii="Book Antiqua" w:hAnsi="Book Antiqua" w:cs="Tahoma"/>
          <w:b/>
          <w:bCs/>
        </w:rPr>
        <w:t>4,27 %</w:t>
      </w:r>
      <w:r w:rsidRPr="00A94FE1">
        <w:rPr>
          <w:rFonts w:ascii="Book Antiqua" w:hAnsi="Book Antiqua" w:cs="Tahoma"/>
        </w:rPr>
        <w:t xml:space="preserve"> des ressources, ce qui correspond à des interventions ciblées et stratégiques.</w:t>
      </w:r>
    </w:p>
    <w:p w14:paraId="24281CA2" w14:textId="77777777" w:rsidR="00A94FE1" w:rsidRPr="00A94FE1" w:rsidRDefault="00A94FE1" w:rsidP="00051D3F">
      <w:pPr>
        <w:numPr>
          <w:ilvl w:val="0"/>
          <w:numId w:val="29"/>
        </w:numPr>
        <w:tabs>
          <w:tab w:val="left" w:pos="1632"/>
        </w:tabs>
        <w:spacing w:line="360" w:lineRule="auto"/>
        <w:jc w:val="both"/>
        <w:rPr>
          <w:rFonts w:ascii="Book Antiqua" w:hAnsi="Book Antiqua" w:cs="Tahoma"/>
        </w:rPr>
      </w:pPr>
      <w:r w:rsidRPr="00A94FE1">
        <w:rPr>
          <w:rFonts w:ascii="Book Antiqua" w:hAnsi="Book Antiqua" w:cs="Tahoma"/>
          <w:b/>
          <w:bCs/>
        </w:rPr>
        <w:t>Activités transversales</w:t>
      </w:r>
      <w:r w:rsidRPr="00A94FE1">
        <w:rPr>
          <w:rFonts w:ascii="Book Antiqua" w:hAnsi="Book Antiqua" w:cs="Tahoma"/>
        </w:rPr>
        <w:t xml:space="preserve"> : Elles ont bénéficié de </w:t>
      </w:r>
      <w:r w:rsidRPr="00A94FE1">
        <w:rPr>
          <w:rFonts w:ascii="Book Antiqua" w:hAnsi="Book Antiqua" w:cs="Tahoma"/>
          <w:b/>
          <w:bCs/>
        </w:rPr>
        <w:t>4,15 %</w:t>
      </w:r>
      <w:r w:rsidRPr="00A94FE1">
        <w:rPr>
          <w:rFonts w:ascii="Book Antiqua" w:hAnsi="Book Antiqua" w:cs="Tahoma"/>
        </w:rPr>
        <w:t xml:space="preserve"> du budget, permettant de soutenir la coordination, le suivi et la cohérence des actions sur l’ensemble du programme.</w:t>
      </w:r>
    </w:p>
    <w:p w14:paraId="31DF2F2C" w14:textId="77777777" w:rsidR="00A94FE1" w:rsidRPr="00A94FE1" w:rsidRDefault="00A94FE1" w:rsidP="00051D3F">
      <w:pPr>
        <w:numPr>
          <w:ilvl w:val="0"/>
          <w:numId w:val="29"/>
        </w:numPr>
        <w:tabs>
          <w:tab w:val="left" w:pos="1632"/>
        </w:tabs>
        <w:spacing w:line="360" w:lineRule="auto"/>
        <w:jc w:val="both"/>
        <w:rPr>
          <w:rFonts w:ascii="Book Antiqua" w:hAnsi="Book Antiqua" w:cs="Tahoma"/>
        </w:rPr>
      </w:pPr>
      <w:r w:rsidRPr="00A94FE1">
        <w:rPr>
          <w:rFonts w:ascii="Book Antiqua" w:hAnsi="Book Antiqua" w:cs="Tahoma"/>
          <w:b/>
          <w:bCs/>
        </w:rPr>
        <w:t>Fonctionnement et RH</w:t>
      </w:r>
      <w:r w:rsidRPr="00A94FE1">
        <w:rPr>
          <w:rFonts w:ascii="Book Antiqua" w:hAnsi="Book Antiqua" w:cs="Tahoma"/>
        </w:rPr>
        <w:t xml:space="preserve"> : Avec </w:t>
      </w:r>
      <w:r w:rsidRPr="00A94FE1">
        <w:rPr>
          <w:rFonts w:ascii="Book Antiqua" w:hAnsi="Book Antiqua" w:cs="Tahoma"/>
          <w:b/>
          <w:bCs/>
        </w:rPr>
        <w:t>41,56 %</w:t>
      </w:r>
      <w:r w:rsidRPr="00A94FE1">
        <w:rPr>
          <w:rFonts w:ascii="Book Antiqua" w:hAnsi="Book Antiqua" w:cs="Tahoma"/>
        </w:rPr>
        <w:t xml:space="preserve"> des dépenses, cette rubrique a été la plus significative. Elle a assuré une gestion efficace des ressources humaines et des opérations, garantissant la qualité et la continuité de la mise en œuvre des activités.</w:t>
      </w:r>
    </w:p>
    <w:p w14:paraId="5A2166ED" w14:textId="77777777" w:rsidR="00A94FE1" w:rsidRDefault="00A94FE1" w:rsidP="00051D3F">
      <w:pPr>
        <w:numPr>
          <w:ilvl w:val="0"/>
          <w:numId w:val="29"/>
        </w:numPr>
        <w:tabs>
          <w:tab w:val="left" w:pos="1632"/>
        </w:tabs>
        <w:spacing w:line="360" w:lineRule="auto"/>
        <w:jc w:val="both"/>
        <w:rPr>
          <w:rFonts w:ascii="Book Antiqua" w:hAnsi="Book Antiqua" w:cs="Tahoma"/>
        </w:rPr>
      </w:pPr>
      <w:r w:rsidRPr="00A94FE1">
        <w:rPr>
          <w:rFonts w:ascii="Book Antiqua" w:hAnsi="Book Antiqua" w:cs="Tahoma"/>
          <w:b/>
          <w:bCs/>
        </w:rPr>
        <w:t>Coûts indirects</w:t>
      </w:r>
      <w:r w:rsidRPr="00A94FE1">
        <w:rPr>
          <w:rFonts w:ascii="Book Antiqua" w:hAnsi="Book Antiqua" w:cs="Tahoma"/>
        </w:rPr>
        <w:t xml:space="preserve"> : Les charges indirectes représentent </w:t>
      </w:r>
      <w:r w:rsidRPr="00A94FE1">
        <w:rPr>
          <w:rFonts w:ascii="Book Antiqua" w:hAnsi="Book Antiqua" w:cs="Tahoma"/>
          <w:b/>
          <w:bCs/>
        </w:rPr>
        <w:t>7,59 %</w:t>
      </w:r>
      <w:r w:rsidRPr="00A94FE1">
        <w:rPr>
          <w:rFonts w:ascii="Book Antiqua" w:hAnsi="Book Antiqua" w:cs="Tahoma"/>
        </w:rPr>
        <w:t xml:space="preserve"> des ressources et ont couvert les besoins administratifs et logistiques indispensables à la bonne marche du programme.</w:t>
      </w:r>
    </w:p>
    <w:p w14:paraId="19B6026D" w14:textId="77777777" w:rsidR="00051D3F" w:rsidRPr="00A94FE1" w:rsidRDefault="00051D3F" w:rsidP="00051D3F">
      <w:pPr>
        <w:tabs>
          <w:tab w:val="left" w:pos="1632"/>
        </w:tabs>
        <w:spacing w:line="360" w:lineRule="auto"/>
        <w:ind w:left="720"/>
        <w:jc w:val="both"/>
        <w:rPr>
          <w:rFonts w:ascii="Book Antiqua" w:hAnsi="Book Antiqua" w:cs="Tahoma"/>
        </w:rPr>
      </w:pPr>
    </w:p>
    <w:p w14:paraId="7B4BD41A" w14:textId="62E50A55" w:rsidR="006C3A79" w:rsidRPr="00A94FE1" w:rsidRDefault="00A94FE1" w:rsidP="00CA5416">
      <w:pPr>
        <w:tabs>
          <w:tab w:val="left" w:pos="1632"/>
        </w:tabs>
        <w:spacing w:line="360" w:lineRule="auto"/>
        <w:jc w:val="both"/>
        <w:rPr>
          <w:rFonts w:ascii="Book Antiqua" w:hAnsi="Book Antiqua" w:cs="Tahoma"/>
        </w:rPr>
        <w:sectPr w:rsidR="006C3A79" w:rsidRPr="00A94FE1" w:rsidSect="0051658D">
          <w:headerReference w:type="default" r:id="rId13"/>
          <w:footerReference w:type="default" r:id="rId14"/>
          <w:headerReference w:type="first" r:id="rId15"/>
          <w:pgSz w:w="11906" w:h="16838"/>
          <w:pgMar w:top="1134" w:right="1274" w:bottom="851" w:left="1134" w:header="720" w:footer="720" w:gutter="0"/>
          <w:pgNumType w:start="0"/>
          <w:cols w:space="720"/>
          <w:titlePg/>
        </w:sectPr>
      </w:pPr>
      <w:r w:rsidRPr="00A94FE1">
        <w:rPr>
          <w:rFonts w:ascii="Book Antiqua" w:hAnsi="Book Antiqua" w:cs="Tahoma"/>
          <w:b/>
          <w:bCs/>
        </w:rPr>
        <w:lastRenderedPageBreak/>
        <w:t>Synthèse</w:t>
      </w:r>
      <w:r w:rsidRPr="00A94FE1">
        <w:rPr>
          <w:rFonts w:ascii="Book Antiqua" w:hAnsi="Book Antiqua" w:cs="Tahoma"/>
        </w:rPr>
        <w:t xml:space="preserve"> : La répartition des dépenses 2025 est équilibrée et stratégique. Elle permet de concentrer les ressources sur les priorités clés, tout en assurant un soutien efficace aux activités transversales, au dialogue interpartis et aux opérations administratives. Cette approche a contribué à un </w:t>
      </w:r>
      <w:r w:rsidRPr="00A94FE1">
        <w:rPr>
          <w:rFonts w:ascii="Book Antiqua" w:hAnsi="Book Antiqua" w:cs="Tahoma"/>
          <w:b/>
          <w:bCs/>
        </w:rPr>
        <w:t>équilibre entre performance programmative et fonctionnement opérationnel</w:t>
      </w:r>
      <w:r w:rsidRPr="00A94FE1">
        <w:rPr>
          <w:rFonts w:ascii="Book Antiqua" w:hAnsi="Book Antiqua" w:cs="Tahoma"/>
        </w:rPr>
        <w:t>, garantissant l’efficacité de l’exécution financière et le respect des objectifs du programme</w:t>
      </w:r>
      <w:r w:rsidR="00CA5416">
        <w:rPr>
          <w:rFonts w:ascii="Book Antiqua" w:hAnsi="Book Antiqua" w:cs="Tahoma"/>
        </w:rPr>
        <w:t>.</w:t>
      </w:r>
    </w:p>
    <w:p w14:paraId="120714F5" w14:textId="2658AA8F" w:rsidR="00757741" w:rsidRDefault="00836327" w:rsidP="00757741">
      <w:pPr>
        <w:pStyle w:val="Titre1"/>
        <w:numPr>
          <w:ilvl w:val="0"/>
          <w:numId w:val="22"/>
        </w:numPr>
        <w:spacing w:before="0" w:after="0" w:line="240" w:lineRule="auto"/>
        <w:ind w:left="0" w:firstLine="0"/>
        <w:rPr>
          <w:rFonts w:ascii="Book Antiqua" w:hAnsi="Book Antiqua" w:cstheme="minorHAnsi"/>
          <w:color w:val="4472C4" w:themeColor="accent1"/>
          <w:sz w:val="22"/>
          <w:szCs w:val="22"/>
          <w:u w:val="single"/>
        </w:rPr>
      </w:pPr>
      <w:bookmarkStart w:id="9" w:name="_Toc223104666"/>
      <w:r w:rsidRPr="00340A03">
        <w:rPr>
          <w:rFonts w:ascii="Book Antiqua" w:hAnsi="Book Antiqua" w:cstheme="minorHAnsi"/>
          <w:color w:val="4472C4" w:themeColor="accent1"/>
          <w:sz w:val="22"/>
          <w:szCs w:val="22"/>
          <w:u w:val="single"/>
        </w:rPr>
        <w:lastRenderedPageBreak/>
        <w:t>LE SUIVI BUDGETAIRE DES REALISATIONS DE 202</w:t>
      </w:r>
      <w:r w:rsidR="00652A0A">
        <w:rPr>
          <w:rFonts w:ascii="Book Antiqua" w:hAnsi="Book Antiqua" w:cstheme="minorHAnsi"/>
          <w:color w:val="4472C4" w:themeColor="accent1"/>
          <w:sz w:val="22"/>
          <w:szCs w:val="22"/>
          <w:u w:val="single"/>
        </w:rPr>
        <w:t>5</w:t>
      </w:r>
      <w:bookmarkEnd w:id="9"/>
    </w:p>
    <w:p w14:paraId="21D28C81" w14:textId="2564F93F" w:rsidR="00DE078C" w:rsidRDefault="00DE078C" w:rsidP="00DE078C">
      <w:pPr>
        <w:rPr>
          <w:lang w:val="nl-NL"/>
        </w:rPr>
      </w:pPr>
    </w:p>
    <w:p w14:paraId="2DBAAB32" w14:textId="6A681EA6" w:rsidR="00DE078C" w:rsidRDefault="00DE2F8E" w:rsidP="00DE078C">
      <w:pPr>
        <w:rPr>
          <w:lang w:val="nl-NL"/>
        </w:rPr>
      </w:pPr>
      <w:r>
        <w:rPr>
          <w:lang w:val="nl-NL"/>
        </w:rPr>
        <w:t>Cf fichier Excel du rapport</w:t>
      </w:r>
    </w:p>
    <w:p w14:paraId="4EE03D78" w14:textId="77777777" w:rsidR="00531D83" w:rsidRDefault="00531D83" w:rsidP="00836327">
      <w:pPr>
        <w:rPr>
          <w:rFonts w:ascii="Book Antiqua" w:hAnsi="Book Antiqua" w:cs="Tahoma"/>
        </w:rPr>
      </w:pPr>
    </w:p>
    <w:p w14:paraId="4B462DA5" w14:textId="3426F467" w:rsidR="00836327" w:rsidRPr="0025640D" w:rsidRDefault="0025640D" w:rsidP="0025640D">
      <w:pPr>
        <w:pStyle w:val="Titre1"/>
        <w:numPr>
          <w:ilvl w:val="0"/>
          <w:numId w:val="22"/>
        </w:numPr>
        <w:spacing w:before="0" w:after="0" w:line="240" w:lineRule="auto"/>
        <w:ind w:left="0" w:firstLine="0"/>
        <w:rPr>
          <w:rFonts w:ascii="Book Antiqua" w:hAnsi="Book Antiqua" w:cstheme="minorHAnsi"/>
          <w:color w:val="4472C4" w:themeColor="accent1"/>
          <w:sz w:val="22"/>
          <w:szCs w:val="22"/>
          <w:u w:val="single"/>
        </w:rPr>
      </w:pPr>
      <w:bookmarkStart w:id="10" w:name="_Toc223104667"/>
      <w:r w:rsidRPr="0025640D">
        <w:rPr>
          <w:rFonts w:ascii="Book Antiqua" w:hAnsi="Book Antiqua" w:cstheme="minorHAnsi"/>
          <w:color w:val="4472C4" w:themeColor="accent1"/>
          <w:sz w:val="22"/>
          <w:szCs w:val="22"/>
          <w:u w:val="single"/>
        </w:rPr>
        <w:t>SYNTH</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SE DE L’</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X</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CUTION BUDG</w:t>
      </w:r>
      <w:r w:rsidR="00E30C4B">
        <w:rPr>
          <w:rFonts w:ascii="Book Antiqua" w:hAnsi="Book Antiqua" w:cstheme="minorHAnsi"/>
          <w:color w:val="4472C4" w:themeColor="accent1"/>
          <w:sz w:val="22"/>
          <w:szCs w:val="22"/>
          <w:u w:val="single"/>
        </w:rPr>
        <w:t>E</w:t>
      </w:r>
      <w:r w:rsidRPr="0025640D">
        <w:rPr>
          <w:rFonts w:ascii="Book Antiqua" w:hAnsi="Book Antiqua" w:cstheme="minorHAnsi"/>
          <w:color w:val="4472C4" w:themeColor="accent1"/>
          <w:sz w:val="22"/>
          <w:szCs w:val="22"/>
          <w:u w:val="single"/>
        </w:rPr>
        <w:t>TAIRE PAR RUBRIQUES</w:t>
      </w:r>
      <w:bookmarkEnd w:id="10"/>
    </w:p>
    <w:p w14:paraId="32667957" w14:textId="77777777" w:rsidR="0025640D" w:rsidRPr="0025640D" w:rsidRDefault="0025640D" w:rsidP="00836327">
      <w:pPr>
        <w:rPr>
          <w:rFonts w:ascii="Book Antiqua" w:hAnsi="Book Antiqua" w:cs="Tahoma"/>
          <w:sz w:val="10"/>
          <w:szCs w:val="10"/>
        </w:rPr>
      </w:pPr>
    </w:p>
    <w:p w14:paraId="5E51F1CD" w14:textId="129F703B" w:rsidR="00836327" w:rsidRDefault="00836327" w:rsidP="00836327">
      <w:pPr>
        <w:rPr>
          <w:rFonts w:ascii="Book Antiqua" w:hAnsi="Book Antiqua" w:cs="Tahoma"/>
        </w:rPr>
      </w:pPr>
      <w:r w:rsidRPr="00836327">
        <w:rPr>
          <w:rFonts w:ascii="Book Antiqua" w:hAnsi="Book Antiqua" w:cs="Tahoma"/>
        </w:rPr>
        <w:t>Ce tableau retrace les consommations du budget par rubriques budgétaire</w:t>
      </w:r>
      <w:r w:rsidR="00E30C4B">
        <w:rPr>
          <w:rFonts w:ascii="Book Antiqua" w:hAnsi="Book Antiqua" w:cs="Tahoma"/>
        </w:rPr>
        <w:t>s</w:t>
      </w:r>
    </w:p>
    <w:p w14:paraId="633CF0B1" w14:textId="77777777" w:rsidR="00E30C4B" w:rsidRPr="00E30C4B" w:rsidRDefault="00E30C4B" w:rsidP="00836327">
      <w:pPr>
        <w:rPr>
          <w:rFonts w:ascii="Book Antiqua" w:hAnsi="Book Antiqua" w:cs="Tahoma"/>
          <w:sz w:val="10"/>
          <w:szCs w:val="10"/>
        </w:rPr>
      </w:pPr>
    </w:p>
    <w:p w14:paraId="3A5F0DC1" w14:textId="0B719665" w:rsidR="00E30C4B" w:rsidRDefault="00E30C4B" w:rsidP="00836327">
      <w:pPr>
        <w:rPr>
          <w:rFonts w:ascii="Book Antiqua" w:hAnsi="Book Antiqua" w:cs="Tahoma"/>
        </w:rPr>
      </w:pPr>
      <w:r w:rsidRPr="00E30C4B">
        <w:rPr>
          <w:rFonts w:ascii="Book Antiqua" w:hAnsi="Book Antiqua" w:cs="Tahoma"/>
          <w:b/>
          <w:bCs/>
        </w:rPr>
        <w:t xml:space="preserve">Tableau 2 : </w:t>
      </w:r>
      <w:r w:rsidRPr="00E30C4B">
        <w:rPr>
          <w:rFonts w:ascii="Book Antiqua" w:hAnsi="Book Antiqua" w:cs="Tahoma"/>
        </w:rPr>
        <w:t>Situation des consommations du budget par rubriques budgétaires</w:t>
      </w:r>
    </w:p>
    <w:p w14:paraId="4E236A59" w14:textId="77777777" w:rsidR="00211BCE" w:rsidRDefault="00211BCE" w:rsidP="00836327">
      <w:pPr>
        <w:rPr>
          <w:rFonts w:ascii="Book Antiqua" w:hAnsi="Book Antiqua" w:cs="Tahoma"/>
        </w:rPr>
      </w:pPr>
    </w:p>
    <w:p w14:paraId="6C59C410" w14:textId="77777777" w:rsidR="00211BCE" w:rsidRDefault="00211BCE" w:rsidP="00836327">
      <w:pPr>
        <w:rPr>
          <w:rFonts w:ascii="Book Antiqua" w:hAnsi="Book Antiqua" w:cs="Tahoma"/>
        </w:rPr>
      </w:pPr>
    </w:p>
    <w:p w14:paraId="48CB0D4F" w14:textId="77777777" w:rsidR="00211BCE" w:rsidRDefault="00211BCE" w:rsidP="00836327">
      <w:pPr>
        <w:rPr>
          <w:rFonts w:ascii="Book Antiqua" w:hAnsi="Book Antiqua" w:cs="Tahoma"/>
        </w:rPr>
      </w:pPr>
    </w:p>
    <w:p w14:paraId="61003C23" w14:textId="77777777" w:rsidR="00211BCE" w:rsidRDefault="00211BCE" w:rsidP="00836327">
      <w:pPr>
        <w:rPr>
          <w:rFonts w:ascii="Book Antiqua" w:hAnsi="Book Antiqua" w:cs="Tahoma"/>
        </w:rPr>
      </w:pPr>
    </w:p>
    <w:p w14:paraId="3E4C18E2" w14:textId="77777777" w:rsidR="00211BCE" w:rsidRDefault="00211BCE" w:rsidP="00836327">
      <w:pPr>
        <w:rPr>
          <w:rFonts w:ascii="Book Antiqua" w:hAnsi="Book Antiqua" w:cs="Tahoma"/>
        </w:rPr>
      </w:pPr>
    </w:p>
    <w:p w14:paraId="66D0847E" w14:textId="77777777" w:rsidR="00211BCE" w:rsidRDefault="00211BCE" w:rsidP="00836327">
      <w:pPr>
        <w:rPr>
          <w:rFonts w:ascii="Book Antiqua" w:hAnsi="Book Antiqua" w:cs="Tahoma"/>
        </w:rPr>
      </w:pPr>
    </w:p>
    <w:p w14:paraId="5536AD93" w14:textId="77777777" w:rsidR="00211BCE" w:rsidRDefault="00211BCE" w:rsidP="00836327">
      <w:pPr>
        <w:rPr>
          <w:rFonts w:ascii="Book Antiqua" w:hAnsi="Book Antiqua" w:cs="Tahoma"/>
        </w:rPr>
      </w:pPr>
    </w:p>
    <w:p w14:paraId="7C9250E8" w14:textId="77777777" w:rsidR="00211BCE" w:rsidRDefault="00211BCE" w:rsidP="00836327">
      <w:pPr>
        <w:rPr>
          <w:rFonts w:ascii="Book Antiqua" w:hAnsi="Book Antiqua" w:cs="Tahoma"/>
        </w:rPr>
      </w:pPr>
    </w:p>
    <w:p w14:paraId="17E9BA8E" w14:textId="77777777" w:rsidR="00211BCE" w:rsidRDefault="00211BCE" w:rsidP="00836327">
      <w:pPr>
        <w:rPr>
          <w:rFonts w:ascii="Book Antiqua" w:hAnsi="Book Antiqua" w:cs="Tahoma"/>
        </w:rPr>
      </w:pPr>
    </w:p>
    <w:p w14:paraId="1FB76B5F" w14:textId="77777777" w:rsidR="00211BCE" w:rsidRDefault="00211BCE" w:rsidP="00836327">
      <w:pPr>
        <w:rPr>
          <w:rFonts w:ascii="Book Antiqua" w:hAnsi="Book Antiqua" w:cs="Tahoma"/>
        </w:rPr>
      </w:pPr>
    </w:p>
    <w:p w14:paraId="1A6346FB" w14:textId="77777777" w:rsidR="00211BCE" w:rsidRDefault="00211BCE" w:rsidP="00836327">
      <w:pPr>
        <w:rPr>
          <w:rFonts w:ascii="Book Antiqua" w:hAnsi="Book Antiqua" w:cs="Tahoma"/>
        </w:rPr>
      </w:pPr>
    </w:p>
    <w:p w14:paraId="31F59F2B" w14:textId="77777777" w:rsidR="00211BCE" w:rsidRDefault="00211BCE" w:rsidP="00836327">
      <w:pPr>
        <w:rPr>
          <w:rFonts w:ascii="Book Antiqua" w:hAnsi="Book Antiqua" w:cs="Tahoma"/>
        </w:rPr>
      </w:pPr>
    </w:p>
    <w:p w14:paraId="00208F4D" w14:textId="77777777" w:rsidR="00211BCE" w:rsidRDefault="00211BCE" w:rsidP="00836327">
      <w:pPr>
        <w:rPr>
          <w:rFonts w:ascii="Book Antiqua" w:hAnsi="Book Antiqua" w:cs="Tahoma"/>
        </w:rPr>
      </w:pPr>
    </w:p>
    <w:p w14:paraId="5FF53F42" w14:textId="77777777" w:rsidR="00211BCE" w:rsidRDefault="00211BCE" w:rsidP="00836327">
      <w:pPr>
        <w:rPr>
          <w:rFonts w:ascii="Book Antiqua" w:hAnsi="Book Antiqua" w:cs="Tahoma"/>
        </w:rPr>
      </w:pPr>
    </w:p>
    <w:p w14:paraId="3F8A8A2D" w14:textId="77777777" w:rsidR="00211BCE" w:rsidRDefault="00211BCE" w:rsidP="00836327">
      <w:pPr>
        <w:rPr>
          <w:rFonts w:ascii="Book Antiqua" w:hAnsi="Book Antiqua" w:cs="Tahoma"/>
        </w:rPr>
      </w:pPr>
    </w:p>
    <w:p w14:paraId="7D19C1B5" w14:textId="77777777" w:rsidR="00211BCE" w:rsidRDefault="00211BCE" w:rsidP="00836327">
      <w:pPr>
        <w:rPr>
          <w:rFonts w:ascii="Book Antiqua" w:hAnsi="Book Antiqua" w:cs="Tahoma"/>
        </w:rPr>
      </w:pPr>
    </w:p>
    <w:p w14:paraId="285C5D08" w14:textId="77777777" w:rsidR="00211BCE" w:rsidRDefault="00211BCE" w:rsidP="00836327">
      <w:pPr>
        <w:rPr>
          <w:rFonts w:ascii="Book Antiqua" w:hAnsi="Book Antiqua" w:cs="Tahoma"/>
        </w:rPr>
      </w:pPr>
    </w:p>
    <w:p w14:paraId="43BC314D" w14:textId="77777777" w:rsidR="00211BCE" w:rsidRDefault="00211BCE" w:rsidP="00836327">
      <w:pPr>
        <w:rPr>
          <w:rFonts w:ascii="Book Antiqua" w:hAnsi="Book Antiqua" w:cs="Tahoma"/>
        </w:rPr>
      </w:pPr>
    </w:p>
    <w:p w14:paraId="3CE64D0D" w14:textId="77777777" w:rsidR="00211BCE" w:rsidRPr="00E30C4B" w:rsidRDefault="00211BCE" w:rsidP="00836327">
      <w:pPr>
        <w:rPr>
          <w:rFonts w:ascii="Book Antiqua" w:hAnsi="Book Antiqua" w:cs="Tahoma"/>
          <w:b/>
          <w:bCs/>
        </w:rPr>
      </w:pPr>
    </w:p>
    <w:p w14:paraId="08B61DAB" w14:textId="77777777" w:rsidR="00836327" w:rsidRPr="0025640D" w:rsidRDefault="00836327" w:rsidP="00836327">
      <w:pPr>
        <w:rPr>
          <w:rFonts w:ascii="Book Antiqua" w:hAnsi="Book Antiqua" w:cs="Tahoma"/>
          <w:sz w:val="10"/>
          <w:szCs w:val="10"/>
        </w:rPr>
      </w:pPr>
    </w:p>
    <w:tbl>
      <w:tblPr>
        <w:tblW w:w="12360" w:type="dxa"/>
        <w:tblCellMar>
          <w:left w:w="70" w:type="dxa"/>
          <w:right w:w="70" w:type="dxa"/>
        </w:tblCellMar>
        <w:tblLook w:val="04A0" w:firstRow="1" w:lastRow="0" w:firstColumn="1" w:lastColumn="0" w:noHBand="0" w:noVBand="1"/>
      </w:tblPr>
      <w:tblGrid>
        <w:gridCol w:w="5220"/>
        <w:gridCol w:w="1400"/>
        <w:gridCol w:w="1400"/>
        <w:gridCol w:w="1400"/>
        <w:gridCol w:w="1400"/>
        <w:gridCol w:w="1540"/>
      </w:tblGrid>
      <w:tr w:rsidR="00211BCE" w:rsidRPr="00211BCE" w14:paraId="247D52A0" w14:textId="77777777" w:rsidTr="00211BCE">
        <w:trPr>
          <w:trHeight w:val="300"/>
        </w:trPr>
        <w:tc>
          <w:tcPr>
            <w:tcW w:w="5220" w:type="dxa"/>
            <w:tcBorders>
              <w:top w:val="single" w:sz="8" w:space="0" w:color="auto"/>
              <w:left w:val="single" w:sz="8" w:space="0" w:color="auto"/>
              <w:bottom w:val="single" w:sz="4" w:space="0" w:color="auto"/>
              <w:right w:val="nil"/>
            </w:tcBorders>
            <w:vAlign w:val="center"/>
            <w:hideMark/>
          </w:tcPr>
          <w:p w14:paraId="64F50657" w14:textId="77777777" w:rsidR="00211BCE" w:rsidRPr="00211BCE" w:rsidRDefault="00211BCE" w:rsidP="00211BCE">
            <w:pPr>
              <w:rPr>
                <w:rFonts w:ascii="Calibri Light" w:eastAsia="Times New Roman" w:hAnsi="Calibri Light" w:cs="Calibri Light"/>
                <w:b/>
                <w:bCs/>
                <w:sz w:val="22"/>
                <w:szCs w:val="22"/>
                <w:lang w:eastAsia="fr-FR"/>
              </w:rPr>
            </w:pPr>
            <w:r w:rsidRPr="00211BCE">
              <w:rPr>
                <w:rFonts w:ascii="Calibri Light" w:eastAsia="Times New Roman" w:hAnsi="Calibri Light" w:cs="Calibri Light"/>
                <w:b/>
                <w:bCs/>
                <w:sz w:val="22"/>
                <w:szCs w:val="22"/>
                <w:lang w:eastAsia="fr-FR"/>
              </w:rPr>
              <w:lastRenderedPageBreak/>
              <w:t>1. Budget de l’action</w:t>
            </w:r>
          </w:p>
        </w:tc>
        <w:tc>
          <w:tcPr>
            <w:tcW w:w="2800" w:type="dxa"/>
            <w:gridSpan w:val="2"/>
            <w:tcBorders>
              <w:top w:val="single" w:sz="8" w:space="0" w:color="auto"/>
              <w:left w:val="nil"/>
              <w:bottom w:val="single" w:sz="8" w:space="0" w:color="auto"/>
              <w:right w:val="single" w:sz="8" w:space="0" w:color="000000"/>
            </w:tcBorders>
            <w:shd w:val="clear" w:color="000000" w:fill="C0C0C0"/>
            <w:vAlign w:val="center"/>
            <w:hideMark/>
          </w:tcPr>
          <w:p w14:paraId="2701115F" w14:textId="77777777" w:rsidR="00211BCE" w:rsidRPr="00211BCE" w:rsidRDefault="00211BCE" w:rsidP="00211BCE">
            <w:pPr>
              <w:jc w:val="center"/>
              <w:rPr>
                <w:rFonts w:ascii="Calibri Light" w:eastAsia="Times New Roman" w:hAnsi="Calibri Light" w:cs="Calibri Light"/>
                <w:b/>
                <w:bCs/>
                <w:sz w:val="22"/>
                <w:szCs w:val="22"/>
                <w:lang w:eastAsia="fr-FR"/>
              </w:rPr>
            </w:pPr>
            <w:r w:rsidRPr="00211BCE">
              <w:rPr>
                <w:rFonts w:ascii="Calibri Light" w:eastAsia="Times New Roman" w:hAnsi="Calibri Light" w:cs="Calibri Light"/>
                <w:b/>
                <w:bCs/>
                <w:sz w:val="22"/>
                <w:szCs w:val="22"/>
                <w:lang w:eastAsia="fr-FR"/>
              </w:rPr>
              <w:t xml:space="preserve"> Dépenses 2025 </w:t>
            </w:r>
          </w:p>
        </w:tc>
        <w:tc>
          <w:tcPr>
            <w:tcW w:w="2800" w:type="dxa"/>
            <w:gridSpan w:val="2"/>
            <w:tcBorders>
              <w:top w:val="single" w:sz="8" w:space="0" w:color="auto"/>
              <w:left w:val="nil"/>
              <w:bottom w:val="single" w:sz="8" w:space="0" w:color="auto"/>
              <w:right w:val="single" w:sz="8" w:space="0" w:color="000000"/>
            </w:tcBorders>
            <w:shd w:val="clear" w:color="000000" w:fill="C0C0C0"/>
            <w:vAlign w:val="center"/>
            <w:hideMark/>
          </w:tcPr>
          <w:p w14:paraId="6F043436" w14:textId="77777777" w:rsidR="00211BCE" w:rsidRPr="00211BCE" w:rsidRDefault="00211BCE" w:rsidP="00211BCE">
            <w:pPr>
              <w:jc w:val="center"/>
              <w:rPr>
                <w:rFonts w:ascii="Calibri Light" w:eastAsia="Times New Roman" w:hAnsi="Calibri Light" w:cs="Calibri Light"/>
                <w:b/>
                <w:bCs/>
                <w:sz w:val="22"/>
                <w:szCs w:val="22"/>
                <w:lang w:eastAsia="fr-FR"/>
              </w:rPr>
            </w:pPr>
            <w:r w:rsidRPr="00211BCE">
              <w:rPr>
                <w:rFonts w:ascii="Calibri Light" w:eastAsia="Times New Roman" w:hAnsi="Calibri Light" w:cs="Calibri Light"/>
                <w:b/>
                <w:bCs/>
                <w:sz w:val="22"/>
                <w:szCs w:val="22"/>
                <w:lang w:eastAsia="fr-FR"/>
              </w:rPr>
              <w:t xml:space="preserve"> Solde Budget 2025 au 31.12.2025 </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F53FF7F" w14:textId="77777777" w:rsidR="00211BCE" w:rsidRPr="00211BCE" w:rsidRDefault="00211BCE" w:rsidP="00211BCE">
            <w:pPr>
              <w:jc w:val="cente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 consommation 2024 </w:t>
            </w:r>
          </w:p>
        </w:tc>
      </w:tr>
      <w:tr w:rsidR="00211BCE" w:rsidRPr="00211BCE" w14:paraId="18C026F6" w14:textId="77777777" w:rsidTr="00211BCE">
        <w:trPr>
          <w:trHeight w:val="430"/>
        </w:trPr>
        <w:tc>
          <w:tcPr>
            <w:tcW w:w="5220" w:type="dxa"/>
            <w:tcBorders>
              <w:top w:val="nil"/>
              <w:left w:val="single" w:sz="8" w:space="0" w:color="auto"/>
              <w:bottom w:val="single" w:sz="8" w:space="0" w:color="auto"/>
              <w:right w:val="nil"/>
            </w:tcBorders>
            <w:shd w:val="clear" w:color="000000" w:fill="C0C0C0"/>
            <w:vAlign w:val="center"/>
            <w:hideMark/>
          </w:tcPr>
          <w:p w14:paraId="76D79365"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Coûts</w:t>
            </w:r>
          </w:p>
        </w:tc>
        <w:tc>
          <w:tcPr>
            <w:tcW w:w="1400" w:type="dxa"/>
            <w:tcBorders>
              <w:top w:val="nil"/>
              <w:left w:val="nil"/>
              <w:bottom w:val="single" w:sz="8" w:space="0" w:color="auto"/>
              <w:right w:val="single" w:sz="4" w:space="0" w:color="auto"/>
            </w:tcBorders>
            <w:shd w:val="clear" w:color="000000" w:fill="C0C0C0"/>
            <w:vAlign w:val="center"/>
            <w:hideMark/>
          </w:tcPr>
          <w:p w14:paraId="473E90A3" w14:textId="77777777" w:rsidR="00211BCE" w:rsidRPr="00211BCE" w:rsidRDefault="00211BCE" w:rsidP="00211BCE">
            <w:pPr>
              <w:jc w:val="cente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FCFA </w:t>
            </w:r>
          </w:p>
        </w:tc>
        <w:tc>
          <w:tcPr>
            <w:tcW w:w="1400" w:type="dxa"/>
            <w:tcBorders>
              <w:top w:val="nil"/>
              <w:left w:val="nil"/>
              <w:bottom w:val="single" w:sz="8" w:space="0" w:color="auto"/>
              <w:right w:val="single" w:sz="8" w:space="0" w:color="auto"/>
            </w:tcBorders>
            <w:shd w:val="clear" w:color="000000" w:fill="C0C0C0"/>
            <w:vAlign w:val="center"/>
            <w:hideMark/>
          </w:tcPr>
          <w:p w14:paraId="463F9C4C" w14:textId="77777777" w:rsidR="00211BCE" w:rsidRPr="00211BCE" w:rsidRDefault="00211BCE" w:rsidP="00211BCE">
            <w:pPr>
              <w:jc w:val="cente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Euro </w:t>
            </w:r>
          </w:p>
        </w:tc>
        <w:tc>
          <w:tcPr>
            <w:tcW w:w="1400" w:type="dxa"/>
            <w:tcBorders>
              <w:top w:val="nil"/>
              <w:left w:val="nil"/>
              <w:bottom w:val="single" w:sz="8" w:space="0" w:color="auto"/>
              <w:right w:val="single" w:sz="4" w:space="0" w:color="auto"/>
            </w:tcBorders>
            <w:shd w:val="clear" w:color="000000" w:fill="C0C0C0"/>
            <w:vAlign w:val="center"/>
            <w:hideMark/>
          </w:tcPr>
          <w:p w14:paraId="115BFCB5" w14:textId="77777777" w:rsidR="00211BCE" w:rsidRPr="00211BCE" w:rsidRDefault="00211BCE" w:rsidP="00211BCE">
            <w:pPr>
              <w:jc w:val="cente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FCFA </w:t>
            </w:r>
          </w:p>
        </w:tc>
        <w:tc>
          <w:tcPr>
            <w:tcW w:w="1400" w:type="dxa"/>
            <w:tcBorders>
              <w:top w:val="nil"/>
              <w:left w:val="nil"/>
              <w:bottom w:val="single" w:sz="8" w:space="0" w:color="auto"/>
              <w:right w:val="single" w:sz="8" w:space="0" w:color="auto"/>
            </w:tcBorders>
            <w:shd w:val="clear" w:color="000000" w:fill="C0C0C0"/>
            <w:vAlign w:val="center"/>
            <w:hideMark/>
          </w:tcPr>
          <w:p w14:paraId="10FA7137" w14:textId="77777777" w:rsidR="00211BCE" w:rsidRPr="00211BCE" w:rsidRDefault="00211BCE" w:rsidP="00211BCE">
            <w:pPr>
              <w:jc w:val="cente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Euro </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72D60D10" w14:textId="77777777" w:rsidR="00211BCE" w:rsidRPr="00211BCE" w:rsidRDefault="00211BCE" w:rsidP="00211BCE">
            <w:pPr>
              <w:rPr>
                <w:rFonts w:ascii="Calibri Light" w:eastAsia="Times New Roman" w:hAnsi="Calibri Light" w:cs="Calibri Light"/>
                <w:b/>
                <w:bCs/>
                <w:sz w:val="20"/>
                <w:szCs w:val="20"/>
                <w:lang w:eastAsia="fr-FR"/>
              </w:rPr>
            </w:pPr>
          </w:p>
        </w:tc>
      </w:tr>
      <w:tr w:rsidR="00211BCE" w:rsidRPr="00211BCE" w14:paraId="526A08FB" w14:textId="77777777" w:rsidTr="00211BCE">
        <w:trPr>
          <w:trHeight w:val="290"/>
        </w:trPr>
        <w:tc>
          <w:tcPr>
            <w:tcW w:w="5220" w:type="dxa"/>
            <w:tcBorders>
              <w:top w:val="nil"/>
              <w:left w:val="single" w:sz="8" w:space="0" w:color="auto"/>
              <w:bottom w:val="single" w:sz="4" w:space="0" w:color="auto"/>
              <w:right w:val="nil"/>
            </w:tcBorders>
            <w:vAlign w:val="center"/>
            <w:hideMark/>
          </w:tcPr>
          <w:p w14:paraId="1EA3607E"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1. Ressources humaines</w:t>
            </w:r>
          </w:p>
        </w:tc>
        <w:tc>
          <w:tcPr>
            <w:tcW w:w="1400" w:type="dxa"/>
            <w:tcBorders>
              <w:top w:val="nil"/>
              <w:left w:val="nil"/>
              <w:bottom w:val="single" w:sz="4" w:space="0" w:color="auto"/>
              <w:right w:val="single" w:sz="4" w:space="0" w:color="auto"/>
            </w:tcBorders>
            <w:shd w:val="clear" w:color="000000" w:fill="FFFFFF"/>
            <w:noWrap/>
            <w:vAlign w:val="center"/>
            <w:hideMark/>
          </w:tcPr>
          <w:p w14:paraId="7CB9934B"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69 901 472 </w:t>
            </w:r>
          </w:p>
        </w:tc>
        <w:tc>
          <w:tcPr>
            <w:tcW w:w="1400" w:type="dxa"/>
            <w:tcBorders>
              <w:top w:val="nil"/>
              <w:left w:val="nil"/>
              <w:bottom w:val="single" w:sz="4" w:space="0" w:color="auto"/>
              <w:right w:val="single" w:sz="8" w:space="0" w:color="auto"/>
            </w:tcBorders>
            <w:shd w:val="clear" w:color="000000" w:fill="FFFFFF"/>
            <w:noWrap/>
            <w:vAlign w:val="center"/>
            <w:hideMark/>
          </w:tcPr>
          <w:p w14:paraId="7654960F"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106 564 </w:t>
            </w:r>
          </w:p>
        </w:tc>
        <w:tc>
          <w:tcPr>
            <w:tcW w:w="1400" w:type="dxa"/>
            <w:tcBorders>
              <w:top w:val="nil"/>
              <w:left w:val="nil"/>
              <w:bottom w:val="single" w:sz="4" w:space="0" w:color="auto"/>
              <w:right w:val="single" w:sz="4" w:space="0" w:color="auto"/>
            </w:tcBorders>
            <w:shd w:val="clear" w:color="000000" w:fill="FFFFFF"/>
            <w:noWrap/>
            <w:vAlign w:val="center"/>
            <w:hideMark/>
          </w:tcPr>
          <w:p w14:paraId="260DBA5B"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-196 858 </w:t>
            </w:r>
          </w:p>
        </w:tc>
        <w:tc>
          <w:tcPr>
            <w:tcW w:w="1400" w:type="dxa"/>
            <w:tcBorders>
              <w:top w:val="nil"/>
              <w:left w:val="nil"/>
              <w:bottom w:val="single" w:sz="4" w:space="0" w:color="auto"/>
              <w:right w:val="single" w:sz="8" w:space="0" w:color="auto"/>
            </w:tcBorders>
            <w:shd w:val="clear" w:color="000000" w:fill="FFFFFF"/>
            <w:noWrap/>
            <w:vAlign w:val="center"/>
            <w:hideMark/>
          </w:tcPr>
          <w:p w14:paraId="77B3071A"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-300 </w:t>
            </w:r>
          </w:p>
        </w:tc>
        <w:tc>
          <w:tcPr>
            <w:tcW w:w="1540" w:type="dxa"/>
            <w:tcBorders>
              <w:top w:val="nil"/>
              <w:left w:val="nil"/>
              <w:bottom w:val="single" w:sz="4" w:space="0" w:color="auto"/>
              <w:right w:val="single" w:sz="8" w:space="0" w:color="auto"/>
            </w:tcBorders>
            <w:shd w:val="clear" w:color="000000" w:fill="FFFFFF"/>
            <w:noWrap/>
            <w:vAlign w:val="center"/>
            <w:hideMark/>
          </w:tcPr>
          <w:p w14:paraId="2A246CAE"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100%</w:t>
            </w:r>
          </w:p>
        </w:tc>
      </w:tr>
      <w:tr w:rsidR="00211BCE" w:rsidRPr="00211BCE" w14:paraId="7C9B7361" w14:textId="77777777" w:rsidTr="00211BCE">
        <w:trPr>
          <w:trHeight w:val="290"/>
        </w:trPr>
        <w:tc>
          <w:tcPr>
            <w:tcW w:w="5220" w:type="dxa"/>
            <w:tcBorders>
              <w:top w:val="nil"/>
              <w:left w:val="single" w:sz="8" w:space="0" w:color="auto"/>
              <w:bottom w:val="single" w:sz="4" w:space="0" w:color="auto"/>
              <w:right w:val="nil"/>
            </w:tcBorders>
            <w:vAlign w:val="center"/>
            <w:hideMark/>
          </w:tcPr>
          <w:p w14:paraId="48E760BF"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2. Véhicules</w:t>
            </w:r>
          </w:p>
        </w:tc>
        <w:tc>
          <w:tcPr>
            <w:tcW w:w="1400" w:type="dxa"/>
            <w:tcBorders>
              <w:top w:val="nil"/>
              <w:left w:val="nil"/>
              <w:bottom w:val="single" w:sz="4" w:space="0" w:color="auto"/>
              <w:right w:val="single" w:sz="4" w:space="0" w:color="auto"/>
            </w:tcBorders>
            <w:shd w:val="clear" w:color="000000" w:fill="FFFFFF"/>
            <w:noWrap/>
            <w:vAlign w:val="center"/>
            <w:hideMark/>
          </w:tcPr>
          <w:p w14:paraId="6F7757E0"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1 498 384 </w:t>
            </w:r>
          </w:p>
        </w:tc>
        <w:tc>
          <w:tcPr>
            <w:tcW w:w="1400" w:type="dxa"/>
            <w:tcBorders>
              <w:top w:val="nil"/>
              <w:left w:val="nil"/>
              <w:bottom w:val="single" w:sz="4" w:space="0" w:color="auto"/>
              <w:right w:val="single" w:sz="8" w:space="0" w:color="auto"/>
            </w:tcBorders>
            <w:shd w:val="clear" w:color="000000" w:fill="FFFFFF"/>
            <w:noWrap/>
            <w:vAlign w:val="center"/>
            <w:hideMark/>
          </w:tcPr>
          <w:p w14:paraId="50731A12"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2 284 </w:t>
            </w:r>
          </w:p>
        </w:tc>
        <w:tc>
          <w:tcPr>
            <w:tcW w:w="1400" w:type="dxa"/>
            <w:tcBorders>
              <w:top w:val="nil"/>
              <w:left w:val="nil"/>
              <w:bottom w:val="single" w:sz="4" w:space="0" w:color="auto"/>
              <w:right w:val="single" w:sz="4" w:space="0" w:color="auto"/>
            </w:tcBorders>
            <w:shd w:val="clear" w:color="000000" w:fill="FFFFFF"/>
            <w:noWrap/>
            <w:vAlign w:val="center"/>
            <w:hideMark/>
          </w:tcPr>
          <w:p w14:paraId="6ABBFB61"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312 057 </w:t>
            </w:r>
          </w:p>
        </w:tc>
        <w:tc>
          <w:tcPr>
            <w:tcW w:w="1400" w:type="dxa"/>
            <w:tcBorders>
              <w:top w:val="nil"/>
              <w:left w:val="nil"/>
              <w:bottom w:val="single" w:sz="4" w:space="0" w:color="auto"/>
              <w:right w:val="single" w:sz="8" w:space="0" w:color="auto"/>
            </w:tcBorders>
            <w:shd w:val="clear" w:color="000000" w:fill="FFFFFF"/>
            <w:noWrap/>
            <w:vAlign w:val="center"/>
            <w:hideMark/>
          </w:tcPr>
          <w:p w14:paraId="48A7A615"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476 </w:t>
            </w:r>
          </w:p>
        </w:tc>
        <w:tc>
          <w:tcPr>
            <w:tcW w:w="1540" w:type="dxa"/>
            <w:tcBorders>
              <w:top w:val="nil"/>
              <w:left w:val="nil"/>
              <w:bottom w:val="single" w:sz="4" w:space="0" w:color="auto"/>
              <w:right w:val="single" w:sz="8" w:space="0" w:color="auto"/>
            </w:tcBorders>
            <w:shd w:val="clear" w:color="000000" w:fill="FFFFFF"/>
            <w:noWrap/>
            <w:vAlign w:val="center"/>
            <w:hideMark/>
          </w:tcPr>
          <w:p w14:paraId="629B5868"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83%</w:t>
            </w:r>
          </w:p>
        </w:tc>
      </w:tr>
      <w:tr w:rsidR="00211BCE" w:rsidRPr="00211BCE" w14:paraId="291A35EE" w14:textId="77777777" w:rsidTr="00211BCE">
        <w:trPr>
          <w:trHeight w:val="290"/>
        </w:trPr>
        <w:tc>
          <w:tcPr>
            <w:tcW w:w="5220" w:type="dxa"/>
            <w:tcBorders>
              <w:top w:val="nil"/>
              <w:left w:val="single" w:sz="8" w:space="0" w:color="auto"/>
              <w:bottom w:val="single" w:sz="4" w:space="0" w:color="auto"/>
              <w:right w:val="nil"/>
            </w:tcBorders>
            <w:vAlign w:val="center"/>
            <w:hideMark/>
          </w:tcPr>
          <w:p w14:paraId="72A65C20"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3. Équipement informatiques </w:t>
            </w:r>
          </w:p>
        </w:tc>
        <w:tc>
          <w:tcPr>
            <w:tcW w:w="1400" w:type="dxa"/>
            <w:tcBorders>
              <w:top w:val="nil"/>
              <w:left w:val="nil"/>
              <w:bottom w:val="single" w:sz="4" w:space="0" w:color="auto"/>
              <w:right w:val="single" w:sz="4" w:space="0" w:color="auto"/>
            </w:tcBorders>
            <w:shd w:val="clear" w:color="000000" w:fill="FFFFFF"/>
            <w:noWrap/>
            <w:vAlign w:val="center"/>
            <w:hideMark/>
          </w:tcPr>
          <w:p w14:paraId="73293C9F"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400" w:type="dxa"/>
            <w:tcBorders>
              <w:top w:val="nil"/>
              <w:left w:val="nil"/>
              <w:bottom w:val="single" w:sz="4" w:space="0" w:color="auto"/>
              <w:right w:val="single" w:sz="8" w:space="0" w:color="auto"/>
            </w:tcBorders>
            <w:shd w:val="clear" w:color="000000" w:fill="FFFFFF"/>
            <w:noWrap/>
            <w:vAlign w:val="center"/>
            <w:hideMark/>
          </w:tcPr>
          <w:p w14:paraId="1007897D"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400" w:type="dxa"/>
            <w:tcBorders>
              <w:top w:val="nil"/>
              <w:left w:val="nil"/>
              <w:bottom w:val="single" w:sz="4" w:space="0" w:color="auto"/>
              <w:right w:val="single" w:sz="4" w:space="0" w:color="auto"/>
            </w:tcBorders>
            <w:shd w:val="clear" w:color="000000" w:fill="FFFFFF"/>
            <w:noWrap/>
            <w:vAlign w:val="center"/>
            <w:hideMark/>
          </w:tcPr>
          <w:p w14:paraId="0C323F47"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400" w:type="dxa"/>
            <w:tcBorders>
              <w:top w:val="nil"/>
              <w:left w:val="nil"/>
              <w:bottom w:val="single" w:sz="4" w:space="0" w:color="auto"/>
              <w:right w:val="single" w:sz="8" w:space="0" w:color="auto"/>
            </w:tcBorders>
            <w:shd w:val="clear" w:color="000000" w:fill="FFFFFF"/>
            <w:noWrap/>
            <w:vAlign w:val="center"/>
            <w:hideMark/>
          </w:tcPr>
          <w:p w14:paraId="7EB2497A"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540" w:type="dxa"/>
            <w:tcBorders>
              <w:top w:val="nil"/>
              <w:left w:val="nil"/>
              <w:bottom w:val="single" w:sz="4" w:space="0" w:color="auto"/>
              <w:right w:val="single" w:sz="8" w:space="0" w:color="auto"/>
            </w:tcBorders>
            <w:shd w:val="clear" w:color="000000" w:fill="FFFFFF"/>
            <w:noWrap/>
            <w:vAlign w:val="center"/>
            <w:hideMark/>
          </w:tcPr>
          <w:p w14:paraId="18B9C07D"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0%</w:t>
            </w:r>
          </w:p>
        </w:tc>
      </w:tr>
      <w:tr w:rsidR="00211BCE" w:rsidRPr="00211BCE" w14:paraId="3070692B" w14:textId="77777777" w:rsidTr="00211BCE">
        <w:trPr>
          <w:trHeight w:val="290"/>
        </w:trPr>
        <w:tc>
          <w:tcPr>
            <w:tcW w:w="5220" w:type="dxa"/>
            <w:tcBorders>
              <w:top w:val="nil"/>
              <w:left w:val="single" w:sz="8" w:space="0" w:color="auto"/>
              <w:bottom w:val="single" w:sz="4" w:space="0" w:color="auto"/>
              <w:right w:val="nil"/>
            </w:tcBorders>
            <w:vAlign w:val="center"/>
            <w:hideMark/>
          </w:tcPr>
          <w:p w14:paraId="6D93BFFA"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4. Fournitures, consommables et frais financiers </w:t>
            </w:r>
          </w:p>
        </w:tc>
        <w:tc>
          <w:tcPr>
            <w:tcW w:w="1400" w:type="dxa"/>
            <w:tcBorders>
              <w:top w:val="nil"/>
              <w:left w:val="nil"/>
              <w:bottom w:val="single" w:sz="4" w:space="0" w:color="auto"/>
              <w:right w:val="single" w:sz="4" w:space="0" w:color="auto"/>
            </w:tcBorders>
            <w:shd w:val="clear" w:color="000000" w:fill="FFFFFF"/>
            <w:noWrap/>
            <w:vAlign w:val="center"/>
            <w:hideMark/>
          </w:tcPr>
          <w:p w14:paraId="5838D5D3"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18 041 946 </w:t>
            </w:r>
          </w:p>
        </w:tc>
        <w:tc>
          <w:tcPr>
            <w:tcW w:w="1400" w:type="dxa"/>
            <w:tcBorders>
              <w:top w:val="nil"/>
              <w:left w:val="nil"/>
              <w:bottom w:val="single" w:sz="4" w:space="0" w:color="auto"/>
              <w:right w:val="single" w:sz="8" w:space="0" w:color="auto"/>
            </w:tcBorders>
            <w:shd w:val="clear" w:color="000000" w:fill="FFFFFF"/>
            <w:noWrap/>
            <w:vAlign w:val="center"/>
            <w:hideMark/>
          </w:tcPr>
          <w:p w14:paraId="176FF12C"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27 505 </w:t>
            </w:r>
          </w:p>
        </w:tc>
        <w:tc>
          <w:tcPr>
            <w:tcW w:w="1400" w:type="dxa"/>
            <w:tcBorders>
              <w:top w:val="nil"/>
              <w:left w:val="nil"/>
              <w:bottom w:val="single" w:sz="4" w:space="0" w:color="auto"/>
              <w:right w:val="single" w:sz="4" w:space="0" w:color="auto"/>
            </w:tcBorders>
            <w:shd w:val="clear" w:color="000000" w:fill="FFFFFF"/>
            <w:noWrap/>
            <w:vAlign w:val="center"/>
            <w:hideMark/>
          </w:tcPr>
          <w:p w14:paraId="3C83DF94"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331 410 </w:t>
            </w:r>
          </w:p>
        </w:tc>
        <w:tc>
          <w:tcPr>
            <w:tcW w:w="1400" w:type="dxa"/>
            <w:tcBorders>
              <w:top w:val="nil"/>
              <w:left w:val="nil"/>
              <w:bottom w:val="single" w:sz="4" w:space="0" w:color="auto"/>
              <w:right w:val="single" w:sz="8" w:space="0" w:color="auto"/>
            </w:tcBorders>
            <w:shd w:val="clear" w:color="000000" w:fill="FFFFFF"/>
            <w:noWrap/>
            <w:vAlign w:val="center"/>
            <w:hideMark/>
          </w:tcPr>
          <w:p w14:paraId="2A250C41"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505 </w:t>
            </w:r>
          </w:p>
        </w:tc>
        <w:tc>
          <w:tcPr>
            <w:tcW w:w="1540" w:type="dxa"/>
            <w:tcBorders>
              <w:top w:val="nil"/>
              <w:left w:val="nil"/>
              <w:bottom w:val="single" w:sz="4" w:space="0" w:color="auto"/>
              <w:right w:val="single" w:sz="8" w:space="0" w:color="auto"/>
            </w:tcBorders>
            <w:shd w:val="clear" w:color="000000" w:fill="FFFFFF"/>
            <w:noWrap/>
            <w:vAlign w:val="center"/>
            <w:hideMark/>
          </w:tcPr>
          <w:p w14:paraId="6A53EB22"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98%</w:t>
            </w:r>
          </w:p>
        </w:tc>
      </w:tr>
      <w:tr w:rsidR="00211BCE" w:rsidRPr="00211BCE" w14:paraId="4152DC8F" w14:textId="77777777" w:rsidTr="00211BCE">
        <w:trPr>
          <w:trHeight w:val="380"/>
        </w:trPr>
        <w:tc>
          <w:tcPr>
            <w:tcW w:w="5220" w:type="dxa"/>
            <w:tcBorders>
              <w:top w:val="nil"/>
              <w:left w:val="single" w:sz="8" w:space="0" w:color="auto"/>
              <w:bottom w:val="single" w:sz="4" w:space="0" w:color="auto"/>
              <w:right w:val="nil"/>
            </w:tcBorders>
            <w:shd w:val="clear" w:color="000000" w:fill="C0C0C0"/>
            <w:vAlign w:val="center"/>
            <w:hideMark/>
          </w:tcPr>
          <w:p w14:paraId="637F6D16"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Total Fonctionnement</w:t>
            </w:r>
          </w:p>
        </w:tc>
        <w:tc>
          <w:tcPr>
            <w:tcW w:w="1400" w:type="dxa"/>
            <w:tcBorders>
              <w:top w:val="nil"/>
              <w:left w:val="nil"/>
              <w:bottom w:val="single" w:sz="4" w:space="0" w:color="auto"/>
              <w:right w:val="nil"/>
            </w:tcBorders>
            <w:shd w:val="clear" w:color="000000" w:fill="C0C0C0"/>
            <w:noWrap/>
            <w:vAlign w:val="center"/>
            <w:hideMark/>
          </w:tcPr>
          <w:p w14:paraId="2A88D65C"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89 441 802 </w:t>
            </w:r>
          </w:p>
        </w:tc>
        <w:tc>
          <w:tcPr>
            <w:tcW w:w="1400" w:type="dxa"/>
            <w:tcBorders>
              <w:top w:val="nil"/>
              <w:left w:val="single" w:sz="4" w:space="0" w:color="auto"/>
              <w:bottom w:val="single" w:sz="4" w:space="0" w:color="auto"/>
              <w:right w:val="single" w:sz="8" w:space="0" w:color="auto"/>
            </w:tcBorders>
            <w:shd w:val="clear" w:color="000000" w:fill="C0C0C0"/>
            <w:noWrap/>
            <w:vAlign w:val="center"/>
            <w:hideMark/>
          </w:tcPr>
          <w:p w14:paraId="5E945A71"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136 353 </w:t>
            </w:r>
          </w:p>
        </w:tc>
        <w:tc>
          <w:tcPr>
            <w:tcW w:w="1400" w:type="dxa"/>
            <w:tcBorders>
              <w:top w:val="nil"/>
              <w:left w:val="nil"/>
              <w:bottom w:val="single" w:sz="4" w:space="0" w:color="auto"/>
              <w:right w:val="nil"/>
            </w:tcBorders>
            <w:shd w:val="clear" w:color="000000" w:fill="C0C0C0"/>
            <w:noWrap/>
            <w:vAlign w:val="center"/>
            <w:hideMark/>
          </w:tcPr>
          <w:p w14:paraId="7C5E84C7"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446 609 </w:t>
            </w:r>
          </w:p>
        </w:tc>
        <w:tc>
          <w:tcPr>
            <w:tcW w:w="1400" w:type="dxa"/>
            <w:tcBorders>
              <w:top w:val="nil"/>
              <w:left w:val="single" w:sz="4" w:space="0" w:color="auto"/>
              <w:bottom w:val="single" w:sz="4" w:space="0" w:color="auto"/>
              <w:right w:val="single" w:sz="8" w:space="0" w:color="auto"/>
            </w:tcBorders>
            <w:shd w:val="clear" w:color="000000" w:fill="C0C0C0"/>
            <w:noWrap/>
            <w:vAlign w:val="center"/>
            <w:hideMark/>
          </w:tcPr>
          <w:p w14:paraId="5118BD6E"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681 </w:t>
            </w:r>
          </w:p>
        </w:tc>
        <w:tc>
          <w:tcPr>
            <w:tcW w:w="1540" w:type="dxa"/>
            <w:tcBorders>
              <w:top w:val="nil"/>
              <w:left w:val="nil"/>
              <w:bottom w:val="single" w:sz="4" w:space="0" w:color="auto"/>
              <w:right w:val="single" w:sz="8" w:space="0" w:color="auto"/>
            </w:tcBorders>
            <w:shd w:val="clear" w:color="000000" w:fill="C0C0C0"/>
            <w:noWrap/>
            <w:vAlign w:val="center"/>
            <w:hideMark/>
          </w:tcPr>
          <w:p w14:paraId="3D27F79B"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100%</w:t>
            </w:r>
          </w:p>
        </w:tc>
      </w:tr>
      <w:tr w:rsidR="00211BCE" w:rsidRPr="00211BCE" w14:paraId="68A0AEA1" w14:textId="77777777" w:rsidTr="00211BCE">
        <w:trPr>
          <w:trHeight w:val="290"/>
        </w:trPr>
        <w:tc>
          <w:tcPr>
            <w:tcW w:w="5220" w:type="dxa"/>
            <w:tcBorders>
              <w:top w:val="nil"/>
              <w:left w:val="single" w:sz="8" w:space="0" w:color="auto"/>
              <w:bottom w:val="single" w:sz="4" w:space="0" w:color="auto"/>
              <w:right w:val="nil"/>
            </w:tcBorders>
            <w:shd w:val="clear" w:color="000000" w:fill="FFFFFF"/>
            <w:vAlign w:val="center"/>
            <w:hideMark/>
          </w:tcPr>
          <w:p w14:paraId="22E43F54"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Activités transversales</w:t>
            </w:r>
          </w:p>
        </w:tc>
        <w:tc>
          <w:tcPr>
            <w:tcW w:w="1400" w:type="dxa"/>
            <w:tcBorders>
              <w:top w:val="nil"/>
              <w:left w:val="nil"/>
              <w:bottom w:val="single" w:sz="4" w:space="0" w:color="auto"/>
              <w:right w:val="single" w:sz="4" w:space="0" w:color="auto"/>
            </w:tcBorders>
            <w:shd w:val="clear" w:color="000000" w:fill="FFFFFF"/>
            <w:noWrap/>
            <w:vAlign w:val="center"/>
            <w:hideMark/>
          </w:tcPr>
          <w:p w14:paraId="295E4A24"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8 940 510 </w:t>
            </w:r>
          </w:p>
        </w:tc>
        <w:tc>
          <w:tcPr>
            <w:tcW w:w="1400" w:type="dxa"/>
            <w:tcBorders>
              <w:top w:val="nil"/>
              <w:left w:val="nil"/>
              <w:bottom w:val="single" w:sz="4" w:space="0" w:color="auto"/>
              <w:right w:val="single" w:sz="8" w:space="0" w:color="auto"/>
            </w:tcBorders>
            <w:shd w:val="clear" w:color="000000" w:fill="FFFFFF"/>
            <w:noWrap/>
            <w:vAlign w:val="center"/>
            <w:hideMark/>
          </w:tcPr>
          <w:p w14:paraId="214F0BA4"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13 630 </w:t>
            </w:r>
          </w:p>
        </w:tc>
        <w:tc>
          <w:tcPr>
            <w:tcW w:w="1400" w:type="dxa"/>
            <w:tcBorders>
              <w:top w:val="nil"/>
              <w:left w:val="nil"/>
              <w:bottom w:val="single" w:sz="4" w:space="0" w:color="auto"/>
              <w:right w:val="single" w:sz="4" w:space="0" w:color="auto"/>
            </w:tcBorders>
            <w:shd w:val="clear" w:color="000000" w:fill="FFFFFF"/>
            <w:noWrap/>
            <w:vAlign w:val="center"/>
            <w:hideMark/>
          </w:tcPr>
          <w:p w14:paraId="707E4DC5"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269 126 </w:t>
            </w:r>
          </w:p>
        </w:tc>
        <w:tc>
          <w:tcPr>
            <w:tcW w:w="1400" w:type="dxa"/>
            <w:tcBorders>
              <w:top w:val="nil"/>
              <w:left w:val="nil"/>
              <w:bottom w:val="single" w:sz="4" w:space="0" w:color="auto"/>
              <w:right w:val="single" w:sz="8" w:space="0" w:color="auto"/>
            </w:tcBorders>
            <w:shd w:val="clear" w:color="000000" w:fill="FFFFFF"/>
            <w:noWrap/>
            <w:vAlign w:val="center"/>
            <w:hideMark/>
          </w:tcPr>
          <w:p w14:paraId="387A6B70"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410 </w:t>
            </w:r>
          </w:p>
        </w:tc>
        <w:tc>
          <w:tcPr>
            <w:tcW w:w="1540" w:type="dxa"/>
            <w:tcBorders>
              <w:top w:val="nil"/>
              <w:left w:val="nil"/>
              <w:bottom w:val="single" w:sz="4" w:space="0" w:color="auto"/>
              <w:right w:val="single" w:sz="8" w:space="0" w:color="auto"/>
            </w:tcBorders>
            <w:shd w:val="clear" w:color="000000" w:fill="FFFFFF"/>
            <w:noWrap/>
            <w:vAlign w:val="center"/>
            <w:hideMark/>
          </w:tcPr>
          <w:p w14:paraId="4B787EAE"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97%</w:t>
            </w:r>
          </w:p>
        </w:tc>
      </w:tr>
      <w:tr w:rsidR="00211BCE" w:rsidRPr="00211BCE" w14:paraId="6284B4BF" w14:textId="77777777" w:rsidTr="00211BCE">
        <w:trPr>
          <w:trHeight w:val="520"/>
        </w:trPr>
        <w:tc>
          <w:tcPr>
            <w:tcW w:w="5220" w:type="dxa"/>
            <w:tcBorders>
              <w:top w:val="nil"/>
              <w:left w:val="single" w:sz="8" w:space="0" w:color="auto"/>
              <w:bottom w:val="single" w:sz="4" w:space="0" w:color="auto"/>
              <w:right w:val="nil"/>
            </w:tcBorders>
            <w:shd w:val="clear" w:color="000000" w:fill="FFFFFF"/>
            <w:vAlign w:val="center"/>
            <w:hideMark/>
          </w:tcPr>
          <w:p w14:paraId="77583306"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R1 Résultat 1. Les partis politiques sont plus inclusifs, plus attractifs, plus représentatifs et performants</w:t>
            </w:r>
          </w:p>
        </w:tc>
        <w:tc>
          <w:tcPr>
            <w:tcW w:w="1400" w:type="dxa"/>
            <w:tcBorders>
              <w:top w:val="nil"/>
              <w:left w:val="nil"/>
              <w:bottom w:val="single" w:sz="4" w:space="0" w:color="auto"/>
              <w:right w:val="single" w:sz="4" w:space="0" w:color="auto"/>
            </w:tcBorders>
            <w:shd w:val="clear" w:color="000000" w:fill="FFFFFF"/>
            <w:noWrap/>
            <w:vAlign w:val="center"/>
            <w:hideMark/>
          </w:tcPr>
          <w:p w14:paraId="0DAA5389"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47 297 533 </w:t>
            </w:r>
          </w:p>
        </w:tc>
        <w:tc>
          <w:tcPr>
            <w:tcW w:w="1400" w:type="dxa"/>
            <w:tcBorders>
              <w:top w:val="nil"/>
              <w:left w:val="nil"/>
              <w:bottom w:val="single" w:sz="4" w:space="0" w:color="auto"/>
              <w:right w:val="single" w:sz="8" w:space="0" w:color="auto"/>
            </w:tcBorders>
            <w:shd w:val="clear" w:color="000000" w:fill="FFFFFF"/>
            <w:noWrap/>
            <w:vAlign w:val="center"/>
            <w:hideMark/>
          </w:tcPr>
          <w:p w14:paraId="5A53670A"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72 105 </w:t>
            </w:r>
          </w:p>
        </w:tc>
        <w:tc>
          <w:tcPr>
            <w:tcW w:w="1400" w:type="dxa"/>
            <w:tcBorders>
              <w:top w:val="nil"/>
              <w:left w:val="nil"/>
              <w:bottom w:val="single" w:sz="4" w:space="0" w:color="auto"/>
              <w:right w:val="single" w:sz="4" w:space="0" w:color="auto"/>
            </w:tcBorders>
            <w:shd w:val="clear" w:color="000000" w:fill="FFFFFF"/>
            <w:noWrap/>
            <w:vAlign w:val="center"/>
            <w:hideMark/>
          </w:tcPr>
          <w:p w14:paraId="4CA4D448"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-1 708 521 </w:t>
            </w:r>
          </w:p>
        </w:tc>
        <w:tc>
          <w:tcPr>
            <w:tcW w:w="1400" w:type="dxa"/>
            <w:tcBorders>
              <w:top w:val="nil"/>
              <w:left w:val="nil"/>
              <w:bottom w:val="single" w:sz="4" w:space="0" w:color="auto"/>
              <w:right w:val="single" w:sz="8" w:space="0" w:color="auto"/>
            </w:tcBorders>
            <w:shd w:val="clear" w:color="000000" w:fill="FFFFFF"/>
            <w:noWrap/>
            <w:vAlign w:val="center"/>
            <w:hideMark/>
          </w:tcPr>
          <w:p w14:paraId="6A70AC57"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-2 605 </w:t>
            </w:r>
          </w:p>
        </w:tc>
        <w:tc>
          <w:tcPr>
            <w:tcW w:w="1540" w:type="dxa"/>
            <w:tcBorders>
              <w:top w:val="nil"/>
              <w:left w:val="nil"/>
              <w:bottom w:val="single" w:sz="4" w:space="0" w:color="auto"/>
              <w:right w:val="single" w:sz="8" w:space="0" w:color="auto"/>
            </w:tcBorders>
            <w:shd w:val="clear" w:color="000000" w:fill="FFFFFF"/>
            <w:noWrap/>
            <w:vAlign w:val="center"/>
            <w:hideMark/>
          </w:tcPr>
          <w:p w14:paraId="7F906BCE"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104%</w:t>
            </w:r>
          </w:p>
        </w:tc>
      </w:tr>
      <w:tr w:rsidR="00211BCE" w:rsidRPr="00211BCE" w14:paraId="23F8B7CA" w14:textId="77777777" w:rsidTr="00211BCE">
        <w:trPr>
          <w:trHeight w:val="780"/>
        </w:trPr>
        <w:tc>
          <w:tcPr>
            <w:tcW w:w="5220" w:type="dxa"/>
            <w:tcBorders>
              <w:top w:val="nil"/>
              <w:left w:val="single" w:sz="8" w:space="0" w:color="auto"/>
              <w:bottom w:val="single" w:sz="4" w:space="0" w:color="auto"/>
              <w:right w:val="nil"/>
            </w:tcBorders>
            <w:shd w:val="clear" w:color="000000" w:fill="FFFFFF"/>
            <w:vAlign w:val="center"/>
            <w:hideMark/>
          </w:tcPr>
          <w:p w14:paraId="1816E76B"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(R2) : L’environnement partisan et électoral béninois est favorable au rayonnement et à l’action efficace des partis politiques.</w:t>
            </w:r>
          </w:p>
        </w:tc>
        <w:tc>
          <w:tcPr>
            <w:tcW w:w="1400" w:type="dxa"/>
            <w:tcBorders>
              <w:top w:val="nil"/>
              <w:left w:val="nil"/>
              <w:bottom w:val="single" w:sz="4" w:space="0" w:color="auto"/>
              <w:right w:val="single" w:sz="4" w:space="0" w:color="auto"/>
            </w:tcBorders>
            <w:shd w:val="clear" w:color="000000" w:fill="FFFFFF"/>
            <w:noWrap/>
            <w:vAlign w:val="center"/>
            <w:hideMark/>
          </w:tcPr>
          <w:p w14:paraId="41B8BA27"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43 982 882 </w:t>
            </w:r>
          </w:p>
        </w:tc>
        <w:tc>
          <w:tcPr>
            <w:tcW w:w="1400" w:type="dxa"/>
            <w:tcBorders>
              <w:top w:val="nil"/>
              <w:left w:val="nil"/>
              <w:bottom w:val="single" w:sz="4" w:space="0" w:color="auto"/>
              <w:right w:val="single" w:sz="8" w:space="0" w:color="auto"/>
            </w:tcBorders>
            <w:shd w:val="clear" w:color="000000" w:fill="FFFFFF"/>
            <w:noWrap/>
            <w:vAlign w:val="center"/>
            <w:hideMark/>
          </w:tcPr>
          <w:p w14:paraId="66CA528B"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67 051 </w:t>
            </w:r>
          </w:p>
        </w:tc>
        <w:tc>
          <w:tcPr>
            <w:tcW w:w="1400" w:type="dxa"/>
            <w:tcBorders>
              <w:top w:val="nil"/>
              <w:left w:val="nil"/>
              <w:bottom w:val="single" w:sz="4" w:space="0" w:color="auto"/>
              <w:right w:val="single" w:sz="4" w:space="0" w:color="auto"/>
            </w:tcBorders>
            <w:shd w:val="clear" w:color="000000" w:fill="FFFFFF"/>
            <w:noWrap/>
            <w:vAlign w:val="center"/>
            <w:hideMark/>
          </w:tcPr>
          <w:p w14:paraId="7ACD794E"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2 590 065 </w:t>
            </w:r>
          </w:p>
        </w:tc>
        <w:tc>
          <w:tcPr>
            <w:tcW w:w="1400" w:type="dxa"/>
            <w:tcBorders>
              <w:top w:val="nil"/>
              <w:left w:val="nil"/>
              <w:bottom w:val="single" w:sz="4" w:space="0" w:color="auto"/>
              <w:right w:val="single" w:sz="8" w:space="0" w:color="auto"/>
            </w:tcBorders>
            <w:shd w:val="clear" w:color="000000" w:fill="FFFFFF"/>
            <w:noWrap/>
            <w:vAlign w:val="center"/>
            <w:hideMark/>
          </w:tcPr>
          <w:p w14:paraId="37B3AB3C"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3 949 </w:t>
            </w:r>
          </w:p>
        </w:tc>
        <w:tc>
          <w:tcPr>
            <w:tcW w:w="1540" w:type="dxa"/>
            <w:tcBorders>
              <w:top w:val="nil"/>
              <w:left w:val="nil"/>
              <w:bottom w:val="single" w:sz="4" w:space="0" w:color="auto"/>
              <w:right w:val="single" w:sz="8" w:space="0" w:color="auto"/>
            </w:tcBorders>
            <w:shd w:val="clear" w:color="000000" w:fill="FFFFFF"/>
            <w:noWrap/>
            <w:vAlign w:val="center"/>
            <w:hideMark/>
          </w:tcPr>
          <w:p w14:paraId="02BCE70E"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94%</w:t>
            </w:r>
          </w:p>
        </w:tc>
      </w:tr>
      <w:tr w:rsidR="00211BCE" w:rsidRPr="00211BCE" w14:paraId="08145929" w14:textId="77777777" w:rsidTr="00211BCE">
        <w:trPr>
          <w:trHeight w:val="530"/>
        </w:trPr>
        <w:tc>
          <w:tcPr>
            <w:tcW w:w="5220" w:type="dxa"/>
            <w:tcBorders>
              <w:top w:val="nil"/>
              <w:left w:val="single" w:sz="8" w:space="0" w:color="auto"/>
              <w:bottom w:val="nil"/>
              <w:right w:val="nil"/>
            </w:tcBorders>
            <w:shd w:val="clear" w:color="000000" w:fill="FFFFFF"/>
            <w:vAlign w:val="center"/>
            <w:hideMark/>
          </w:tcPr>
          <w:p w14:paraId="17AF809A"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(R3) : Le dialogue interpartis est devenu un outil de prévention et règlement des crises politiques au Bénin</w:t>
            </w:r>
          </w:p>
        </w:tc>
        <w:tc>
          <w:tcPr>
            <w:tcW w:w="1400" w:type="dxa"/>
            <w:tcBorders>
              <w:top w:val="nil"/>
              <w:left w:val="nil"/>
              <w:bottom w:val="nil"/>
              <w:right w:val="single" w:sz="4" w:space="0" w:color="auto"/>
            </w:tcBorders>
            <w:shd w:val="clear" w:color="000000" w:fill="FFFFFF"/>
            <w:noWrap/>
            <w:vAlign w:val="center"/>
            <w:hideMark/>
          </w:tcPr>
          <w:p w14:paraId="42E5519D"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9 181 172 </w:t>
            </w:r>
          </w:p>
        </w:tc>
        <w:tc>
          <w:tcPr>
            <w:tcW w:w="1400" w:type="dxa"/>
            <w:tcBorders>
              <w:top w:val="nil"/>
              <w:left w:val="nil"/>
              <w:bottom w:val="nil"/>
              <w:right w:val="single" w:sz="8" w:space="0" w:color="auto"/>
            </w:tcBorders>
            <w:shd w:val="clear" w:color="000000" w:fill="FFFFFF"/>
            <w:noWrap/>
            <w:vAlign w:val="center"/>
            <w:hideMark/>
          </w:tcPr>
          <w:p w14:paraId="7278BA51"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13 997 </w:t>
            </w:r>
          </w:p>
        </w:tc>
        <w:tc>
          <w:tcPr>
            <w:tcW w:w="1400" w:type="dxa"/>
            <w:tcBorders>
              <w:top w:val="nil"/>
              <w:left w:val="nil"/>
              <w:bottom w:val="nil"/>
              <w:right w:val="single" w:sz="4" w:space="0" w:color="auto"/>
            </w:tcBorders>
            <w:shd w:val="clear" w:color="000000" w:fill="FFFFFF"/>
            <w:noWrap/>
            <w:vAlign w:val="center"/>
            <w:hideMark/>
          </w:tcPr>
          <w:p w14:paraId="1C909DCE"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515 185 </w:t>
            </w:r>
          </w:p>
        </w:tc>
        <w:tc>
          <w:tcPr>
            <w:tcW w:w="1400" w:type="dxa"/>
            <w:tcBorders>
              <w:top w:val="nil"/>
              <w:left w:val="nil"/>
              <w:bottom w:val="nil"/>
              <w:right w:val="single" w:sz="8" w:space="0" w:color="auto"/>
            </w:tcBorders>
            <w:shd w:val="clear" w:color="000000" w:fill="FFFFFF"/>
            <w:noWrap/>
            <w:vAlign w:val="center"/>
            <w:hideMark/>
          </w:tcPr>
          <w:p w14:paraId="73029C5C"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785 </w:t>
            </w:r>
          </w:p>
        </w:tc>
        <w:tc>
          <w:tcPr>
            <w:tcW w:w="1540" w:type="dxa"/>
            <w:tcBorders>
              <w:top w:val="nil"/>
              <w:left w:val="nil"/>
              <w:bottom w:val="nil"/>
              <w:right w:val="single" w:sz="8" w:space="0" w:color="auto"/>
            </w:tcBorders>
            <w:shd w:val="clear" w:color="000000" w:fill="FFFFFF"/>
            <w:noWrap/>
            <w:vAlign w:val="center"/>
            <w:hideMark/>
          </w:tcPr>
          <w:p w14:paraId="46355BEC"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95%</w:t>
            </w:r>
          </w:p>
        </w:tc>
      </w:tr>
      <w:tr w:rsidR="00211BCE" w:rsidRPr="00211BCE" w14:paraId="7049579C" w14:textId="77777777" w:rsidTr="00211BCE">
        <w:trPr>
          <w:trHeight w:val="300"/>
        </w:trPr>
        <w:tc>
          <w:tcPr>
            <w:tcW w:w="5220" w:type="dxa"/>
            <w:tcBorders>
              <w:top w:val="single" w:sz="8" w:space="0" w:color="auto"/>
              <w:left w:val="single" w:sz="8" w:space="0" w:color="auto"/>
              <w:bottom w:val="nil"/>
              <w:right w:val="nil"/>
            </w:tcBorders>
            <w:shd w:val="clear" w:color="000000" w:fill="A6A6A6"/>
            <w:vAlign w:val="center"/>
            <w:hideMark/>
          </w:tcPr>
          <w:p w14:paraId="0FAD2701"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Total activités</w:t>
            </w:r>
          </w:p>
        </w:tc>
        <w:tc>
          <w:tcPr>
            <w:tcW w:w="1400" w:type="dxa"/>
            <w:tcBorders>
              <w:top w:val="single" w:sz="8" w:space="0" w:color="auto"/>
              <w:left w:val="single" w:sz="4" w:space="0" w:color="auto"/>
              <w:bottom w:val="nil"/>
              <w:right w:val="single" w:sz="8" w:space="0" w:color="auto"/>
            </w:tcBorders>
            <w:shd w:val="clear" w:color="000000" w:fill="A6A6A6"/>
            <w:noWrap/>
            <w:vAlign w:val="center"/>
            <w:hideMark/>
          </w:tcPr>
          <w:p w14:paraId="00BE122E"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109 402 097 </w:t>
            </w:r>
          </w:p>
        </w:tc>
        <w:tc>
          <w:tcPr>
            <w:tcW w:w="1400" w:type="dxa"/>
            <w:tcBorders>
              <w:top w:val="single" w:sz="8" w:space="0" w:color="auto"/>
              <w:left w:val="single" w:sz="4" w:space="0" w:color="auto"/>
              <w:bottom w:val="nil"/>
              <w:right w:val="single" w:sz="8" w:space="0" w:color="auto"/>
            </w:tcBorders>
            <w:shd w:val="clear" w:color="000000" w:fill="A6A6A6"/>
            <w:noWrap/>
            <w:vAlign w:val="center"/>
            <w:hideMark/>
          </w:tcPr>
          <w:p w14:paraId="16CC26C3"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166 782 </w:t>
            </w:r>
          </w:p>
        </w:tc>
        <w:tc>
          <w:tcPr>
            <w:tcW w:w="1400" w:type="dxa"/>
            <w:tcBorders>
              <w:top w:val="single" w:sz="8" w:space="0" w:color="auto"/>
              <w:left w:val="single" w:sz="4" w:space="0" w:color="auto"/>
              <w:bottom w:val="nil"/>
              <w:right w:val="single" w:sz="8" w:space="0" w:color="auto"/>
            </w:tcBorders>
            <w:shd w:val="clear" w:color="000000" w:fill="A6A6A6"/>
            <w:noWrap/>
            <w:vAlign w:val="center"/>
            <w:hideMark/>
          </w:tcPr>
          <w:p w14:paraId="30F7B539"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1 665 855 </w:t>
            </w:r>
          </w:p>
        </w:tc>
        <w:tc>
          <w:tcPr>
            <w:tcW w:w="1400" w:type="dxa"/>
            <w:tcBorders>
              <w:top w:val="single" w:sz="8" w:space="0" w:color="auto"/>
              <w:left w:val="single" w:sz="4" w:space="0" w:color="auto"/>
              <w:bottom w:val="nil"/>
              <w:right w:val="single" w:sz="8" w:space="0" w:color="auto"/>
            </w:tcBorders>
            <w:shd w:val="clear" w:color="000000" w:fill="A6A6A6"/>
            <w:noWrap/>
            <w:vAlign w:val="center"/>
            <w:hideMark/>
          </w:tcPr>
          <w:p w14:paraId="29F01B65"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2 540 </w:t>
            </w:r>
          </w:p>
        </w:tc>
        <w:tc>
          <w:tcPr>
            <w:tcW w:w="1540" w:type="dxa"/>
            <w:tcBorders>
              <w:top w:val="single" w:sz="8" w:space="0" w:color="auto"/>
              <w:left w:val="single" w:sz="4" w:space="0" w:color="auto"/>
              <w:bottom w:val="nil"/>
              <w:right w:val="single" w:sz="8" w:space="0" w:color="auto"/>
            </w:tcBorders>
            <w:shd w:val="clear" w:color="000000" w:fill="A6A6A6"/>
            <w:noWrap/>
            <w:vAlign w:val="center"/>
            <w:hideMark/>
          </w:tcPr>
          <w:p w14:paraId="7B57BF0D"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99%</w:t>
            </w:r>
          </w:p>
        </w:tc>
      </w:tr>
      <w:tr w:rsidR="00211BCE" w:rsidRPr="00211BCE" w14:paraId="7F3F0AC4" w14:textId="77777777" w:rsidTr="00211BCE">
        <w:trPr>
          <w:trHeight w:val="530"/>
        </w:trPr>
        <w:tc>
          <w:tcPr>
            <w:tcW w:w="5220" w:type="dxa"/>
            <w:tcBorders>
              <w:top w:val="single" w:sz="8" w:space="0" w:color="auto"/>
              <w:left w:val="single" w:sz="8" w:space="0" w:color="auto"/>
              <w:bottom w:val="single" w:sz="8" w:space="0" w:color="auto"/>
              <w:right w:val="nil"/>
            </w:tcBorders>
            <w:shd w:val="clear" w:color="000000" w:fill="A6A6A6"/>
            <w:vAlign w:val="center"/>
            <w:hideMark/>
          </w:tcPr>
          <w:p w14:paraId="48B2E3E6"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7.  Sous-total des coûts directs éligibles de l'action (1 à 6)</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1DDBB82"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198 843 899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026F329D"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303 136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7EF54FFA"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2 112 464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40A2AB4"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3 220 </w:t>
            </w:r>
          </w:p>
        </w:tc>
        <w:tc>
          <w:tcPr>
            <w:tcW w:w="154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3514EFC4"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99%</w:t>
            </w:r>
          </w:p>
        </w:tc>
      </w:tr>
      <w:tr w:rsidR="00211BCE" w:rsidRPr="00211BCE" w14:paraId="53B51643" w14:textId="77777777" w:rsidTr="00211BCE">
        <w:trPr>
          <w:trHeight w:val="530"/>
        </w:trPr>
        <w:tc>
          <w:tcPr>
            <w:tcW w:w="5220" w:type="dxa"/>
            <w:tcBorders>
              <w:top w:val="nil"/>
              <w:left w:val="single" w:sz="8" w:space="0" w:color="auto"/>
              <w:bottom w:val="nil"/>
              <w:right w:val="nil"/>
            </w:tcBorders>
            <w:vAlign w:val="center"/>
            <w:hideMark/>
          </w:tcPr>
          <w:p w14:paraId="308CF5DE"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8. Provision pour imprévus (maximum 5 % de la ligne 7 Sous-total des coûts directs éligibles de l’action </w:t>
            </w:r>
          </w:p>
        </w:tc>
        <w:tc>
          <w:tcPr>
            <w:tcW w:w="1400" w:type="dxa"/>
            <w:tcBorders>
              <w:top w:val="nil"/>
              <w:left w:val="single" w:sz="8" w:space="0" w:color="auto"/>
              <w:bottom w:val="nil"/>
              <w:right w:val="single" w:sz="4" w:space="0" w:color="auto"/>
            </w:tcBorders>
            <w:shd w:val="clear" w:color="000000" w:fill="FFFFFF"/>
            <w:noWrap/>
            <w:vAlign w:val="center"/>
            <w:hideMark/>
          </w:tcPr>
          <w:p w14:paraId="2AC11872"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400" w:type="dxa"/>
            <w:tcBorders>
              <w:top w:val="nil"/>
              <w:left w:val="single" w:sz="8" w:space="0" w:color="auto"/>
              <w:bottom w:val="nil"/>
              <w:right w:val="single" w:sz="4" w:space="0" w:color="auto"/>
            </w:tcBorders>
            <w:shd w:val="clear" w:color="000000" w:fill="FFFFFF"/>
            <w:noWrap/>
            <w:vAlign w:val="center"/>
            <w:hideMark/>
          </w:tcPr>
          <w:p w14:paraId="4CD39C3D"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400" w:type="dxa"/>
            <w:tcBorders>
              <w:top w:val="nil"/>
              <w:left w:val="single" w:sz="8" w:space="0" w:color="auto"/>
              <w:bottom w:val="nil"/>
              <w:right w:val="single" w:sz="4" w:space="0" w:color="auto"/>
            </w:tcBorders>
            <w:shd w:val="clear" w:color="000000" w:fill="FFFFFF"/>
            <w:noWrap/>
            <w:vAlign w:val="center"/>
            <w:hideMark/>
          </w:tcPr>
          <w:p w14:paraId="6D1DAD4B"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w:t>
            </w:r>
          </w:p>
        </w:tc>
        <w:tc>
          <w:tcPr>
            <w:tcW w:w="1400" w:type="dxa"/>
            <w:tcBorders>
              <w:top w:val="nil"/>
              <w:left w:val="single" w:sz="8" w:space="0" w:color="auto"/>
              <w:bottom w:val="nil"/>
              <w:right w:val="single" w:sz="4" w:space="0" w:color="auto"/>
            </w:tcBorders>
            <w:shd w:val="clear" w:color="000000" w:fill="FFFFFF"/>
            <w:noWrap/>
            <w:vAlign w:val="center"/>
            <w:hideMark/>
          </w:tcPr>
          <w:p w14:paraId="268E0DFC"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 </w:t>
            </w:r>
          </w:p>
        </w:tc>
        <w:tc>
          <w:tcPr>
            <w:tcW w:w="1540" w:type="dxa"/>
            <w:tcBorders>
              <w:top w:val="nil"/>
              <w:left w:val="single" w:sz="8" w:space="0" w:color="auto"/>
              <w:bottom w:val="nil"/>
              <w:right w:val="single" w:sz="8" w:space="0" w:color="auto"/>
            </w:tcBorders>
            <w:shd w:val="clear" w:color="000000" w:fill="FFFFFF"/>
            <w:noWrap/>
            <w:vAlign w:val="center"/>
            <w:hideMark/>
          </w:tcPr>
          <w:p w14:paraId="32BB3A37"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w:t>
            </w:r>
          </w:p>
        </w:tc>
      </w:tr>
      <w:tr w:rsidR="00211BCE" w:rsidRPr="00211BCE" w14:paraId="0048D05C" w14:textId="77777777" w:rsidTr="00211BCE">
        <w:trPr>
          <w:trHeight w:val="300"/>
        </w:trPr>
        <w:tc>
          <w:tcPr>
            <w:tcW w:w="5220" w:type="dxa"/>
            <w:tcBorders>
              <w:top w:val="single" w:sz="8" w:space="0" w:color="auto"/>
              <w:left w:val="single" w:sz="8" w:space="0" w:color="auto"/>
              <w:bottom w:val="single" w:sz="8" w:space="0" w:color="auto"/>
              <w:right w:val="nil"/>
            </w:tcBorders>
            <w:shd w:val="clear" w:color="000000" w:fill="A6A6A6"/>
            <w:vAlign w:val="center"/>
            <w:hideMark/>
          </w:tcPr>
          <w:p w14:paraId="6523F0B7"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9. Total des coûts directs éligibles de l'action (7+8)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ED6774C"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198 843 899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74AB57C7"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303 136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6C535DD5"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2 112 464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5543ADFD"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3 220 </w:t>
            </w:r>
          </w:p>
        </w:tc>
        <w:tc>
          <w:tcPr>
            <w:tcW w:w="154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0769542"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99%</w:t>
            </w:r>
          </w:p>
        </w:tc>
      </w:tr>
      <w:tr w:rsidR="00211BCE" w:rsidRPr="00211BCE" w14:paraId="5DAD63CA" w14:textId="77777777" w:rsidTr="00211BCE">
        <w:trPr>
          <w:trHeight w:val="530"/>
        </w:trPr>
        <w:tc>
          <w:tcPr>
            <w:tcW w:w="5220" w:type="dxa"/>
            <w:tcBorders>
              <w:top w:val="nil"/>
              <w:left w:val="single" w:sz="8" w:space="0" w:color="auto"/>
              <w:bottom w:val="nil"/>
              <w:right w:val="nil"/>
            </w:tcBorders>
            <w:vAlign w:val="center"/>
            <w:hideMark/>
          </w:tcPr>
          <w:p w14:paraId="046E0290"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10. Coûts indirects (maximum 10 % de la ligne 7 Sous-total des coûts directs éligibles de l’action) </w:t>
            </w:r>
          </w:p>
        </w:tc>
        <w:tc>
          <w:tcPr>
            <w:tcW w:w="1400" w:type="dxa"/>
            <w:tcBorders>
              <w:top w:val="nil"/>
              <w:left w:val="single" w:sz="8" w:space="0" w:color="auto"/>
              <w:bottom w:val="nil"/>
              <w:right w:val="single" w:sz="4" w:space="0" w:color="auto"/>
            </w:tcBorders>
            <w:shd w:val="clear" w:color="000000" w:fill="FFFFFF"/>
            <w:noWrap/>
            <w:vAlign w:val="center"/>
            <w:hideMark/>
          </w:tcPr>
          <w:p w14:paraId="0B64F714"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16 339 747 </w:t>
            </w:r>
          </w:p>
        </w:tc>
        <w:tc>
          <w:tcPr>
            <w:tcW w:w="1400" w:type="dxa"/>
            <w:tcBorders>
              <w:top w:val="nil"/>
              <w:left w:val="single" w:sz="8" w:space="0" w:color="auto"/>
              <w:bottom w:val="nil"/>
              <w:right w:val="single" w:sz="4" w:space="0" w:color="auto"/>
            </w:tcBorders>
            <w:shd w:val="clear" w:color="000000" w:fill="FFFFFF"/>
            <w:noWrap/>
            <w:vAlign w:val="center"/>
            <w:hideMark/>
          </w:tcPr>
          <w:p w14:paraId="3B6774EC"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24 910 </w:t>
            </w:r>
          </w:p>
        </w:tc>
        <w:tc>
          <w:tcPr>
            <w:tcW w:w="1400" w:type="dxa"/>
            <w:tcBorders>
              <w:top w:val="nil"/>
              <w:left w:val="single" w:sz="8" w:space="0" w:color="auto"/>
              <w:bottom w:val="nil"/>
              <w:right w:val="single" w:sz="4" w:space="0" w:color="auto"/>
            </w:tcBorders>
            <w:shd w:val="clear" w:color="000000" w:fill="FFFFFF"/>
            <w:noWrap/>
            <w:vAlign w:val="center"/>
            <w:hideMark/>
          </w:tcPr>
          <w:p w14:paraId="0AFD4D4E"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173 589 </w:t>
            </w:r>
          </w:p>
        </w:tc>
        <w:tc>
          <w:tcPr>
            <w:tcW w:w="1400" w:type="dxa"/>
            <w:tcBorders>
              <w:top w:val="nil"/>
              <w:left w:val="single" w:sz="8" w:space="0" w:color="auto"/>
              <w:bottom w:val="nil"/>
              <w:right w:val="single" w:sz="4" w:space="0" w:color="auto"/>
            </w:tcBorders>
            <w:shd w:val="clear" w:color="000000" w:fill="FFFFFF"/>
            <w:noWrap/>
            <w:vAlign w:val="center"/>
            <w:hideMark/>
          </w:tcPr>
          <w:p w14:paraId="328B50C0" w14:textId="77777777" w:rsidR="00211BCE" w:rsidRPr="00211BCE" w:rsidRDefault="00211BCE" w:rsidP="00211BCE">
            <w:pPr>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 xml:space="preserve">                   265 </w:t>
            </w:r>
          </w:p>
        </w:tc>
        <w:tc>
          <w:tcPr>
            <w:tcW w:w="1540" w:type="dxa"/>
            <w:tcBorders>
              <w:top w:val="nil"/>
              <w:left w:val="single" w:sz="8" w:space="0" w:color="auto"/>
              <w:bottom w:val="nil"/>
              <w:right w:val="single" w:sz="8" w:space="0" w:color="auto"/>
            </w:tcBorders>
            <w:shd w:val="clear" w:color="000000" w:fill="FFFFFF"/>
            <w:noWrap/>
            <w:vAlign w:val="center"/>
            <w:hideMark/>
          </w:tcPr>
          <w:p w14:paraId="25A59E0F" w14:textId="77777777" w:rsidR="00211BCE" w:rsidRPr="00211BCE" w:rsidRDefault="00211BCE" w:rsidP="00211BCE">
            <w:pPr>
              <w:jc w:val="right"/>
              <w:rPr>
                <w:rFonts w:ascii="Calibri Light" w:eastAsia="Times New Roman" w:hAnsi="Calibri Light" w:cs="Calibri Light"/>
                <w:sz w:val="20"/>
                <w:szCs w:val="20"/>
                <w:lang w:eastAsia="fr-FR"/>
              </w:rPr>
            </w:pPr>
            <w:r w:rsidRPr="00211BCE">
              <w:rPr>
                <w:rFonts w:ascii="Calibri Light" w:eastAsia="Times New Roman" w:hAnsi="Calibri Light" w:cs="Calibri Light"/>
                <w:sz w:val="20"/>
                <w:szCs w:val="20"/>
                <w:lang w:eastAsia="fr-FR"/>
              </w:rPr>
              <w:t>99%</w:t>
            </w:r>
          </w:p>
        </w:tc>
      </w:tr>
      <w:tr w:rsidR="00211BCE" w:rsidRPr="00211BCE" w14:paraId="76FA8DB2" w14:textId="77777777" w:rsidTr="00211BCE">
        <w:trPr>
          <w:trHeight w:val="300"/>
        </w:trPr>
        <w:tc>
          <w:tcPr>
            <w:tcW w:w="5220" w:type="dxa"/>
            <w:tcBorders>
              <w:top w:val="single" w:sz="8" w:space="0" w:color="auto"/>
              <w:left w:val="single" w:sz="8" w:space="0" w:color="auto"/>
              <w:bottom w:val="single" w:sz="8" w:space="0" w:color="auto"/>
              <w:right w:val="nil"/>
            </w:tcBorders>
            <w:shd w:val="clear" w:color="000000" w:fill="A6A6A6"/>
            <w:vAlign w:val="center"/>
            <w:hideMark/>
          </w:tcPr>
          <w:p w14:paraId="5FDA1B04"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11. Total des coûts éligibles (9+10)</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4D4B521A"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215 183 646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5D998DA1"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328 045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66DB3FB0"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2 286 053 </w:t>
            </w:r>
          </w:p>
        </w:tc>
        <w:tc>
          <w:tcPr>
            <w:tcW w:w="140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042739DA"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3 485 </w:t>
            </w:r>
          </w:p>
        </w:tc>
        <w:tc>
          <w:tcPr>
            <w:tcW w:w="1540" w:type="dxa"/>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6FE31DC9"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99%</w:t>
            </w:r>
          </w:p>
        </w:tc>
      </w:tr>
      <w:tr w:rsidR="00211BCE" w:rsidRPr="00211BCE" w14:paraId="2BB7755E" w14:textId="77777777" w:rsidTr="00211BCE">
        <w:trPr>
          <w:trHeight w:val="290"/>
        </w:trPr>
        <w:tc>
          <w:tcPr>
            <w:tcW w:w="5220" w:type="dxa"/>
            <w:tcBorders>
              <w:top w:val="nil"/>
              <w:left w:val="single" w:sz="8" w:space="0" w:color="auto"/>
              <w:bottom w:val="single" w:sz="4" w:space="0" w:color="auto"/>
              <w:right w:val="nil"/>
            </w:tcBorders>
            <w:shd w:val="clear" w:color="000000" w:fill="A6A6A6"/>
            <w:vAlign w:val="center"/>
            <w:hideMark/>
          </w:tcPr>
          <w:p w14:paraId="051AD23D"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12.  - Taxes</w:t>
            </w:r>
          </w:p>
        </w:tc>
        <w:tc>
          <w:tcPr>
            <w:tcW w:w="1400" w:type="dxa"/>
            <w:tcBorders>
              <w:top w:val="nil"/>
              <w:left w:val="single" w:sz="4" w:space="0" w:color="auto"/>
              <w:bottom w:val="single" w:sz="4" w:space="0" w:color="auto"/>
              <w:right w:val="single" w:sz="8" w:space="0" w:color="auto"/>
            </w:tcBorders>
            <w:shd w:val="clear" w:color="000000" w:fill="A6A6A6"/>
            <w:noWrap/>
            <w:vAlign w:val="center"/>
            <w:hideMark/>
          </w:tcPr>
          <w:p w14:paraId="71002947"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w:t>
            </w:r>
          </w:p>
        </w:tc>
        <w:tc>
          <w:tcPr>
            <w:tcW w:w="1400" w:type="dxa"/>
            <w:tcBorders>
              <w:top w:val="nil"/>
              <w:left w:val="single" w:sz="4" w:space="0" w:color="auto"/>
              <w:bottom w:val="single" w:sz="4" w:space="0" w:color="auto"/>
              <w:right w:val="single" w:sz="8" w:space="0" w:color="auto"/>
            </w:tcBorders>
            <w:shd w:val="clear" w:color="000000" w:fill="A6A6A6"/>
            <w:noWrap/>
            <w:vAlign w:val="center"/>
            <w:hideMark/>
          </w:tcPr>
          <w:p w14:paraId="2E3C6EB2"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 </w:t>
            </w:r>
          </w:p>
        </w:tc>
        <w:tc>
          <w:tcPr>
            <w:tcW w:w="1400" w:type="dxa"/>
            <w:tcBorders>
              <w:top w:val="nil"/>
              <w:left w:val="single" w:sz="4" w:space="0" w:color="auto"/>
              <w:bottom w:val="single" w:sz="4" w:space="0" w:color="auto"/>
              <w:right w:val="single" w:sz="8" w:space="0" w:color="auto"/>
            </w:tcBorders>
            <w:shd w:val="clear" w:color="000000" w:fill="A6A6A6"/>
            <w:noWrap/>
            <w:vAlign w:val="center"/>
            <w:hideMark/>
          </w:tcPr>
          <w:p w14:paraId="5F6F7DB3"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w:t>
            </w:r>
          </w:p>
        </w:tc>
        <w:tc>
          <w:tcPr>
            <w:tcW w:w="1400" w:type="dxa"/>
            <w:tcBorders>
              <w:top w:val="nil"/>
              <w:left w:val="single" w:sz="4" w:space="0" w:color="auto"/>
              <w:bottom w:val="single" w:sz="4" w:space="0" w:color="auto"/>
              <w:right w:val="single" w:sz="8" w:space="0" w:color="auto"/>
            </w:tcBorders>
            <w:shd w:val="clear" w:color="000000" w:fill="A6A6A6"/>
            <w:noWrap/>
            <w:vAlign w:val="center"/>
            <w:hideMark/>
          </w:tcPr>
          <w:p w14:paraId="53363077"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 </w:t>
            </w:r>
          </w:p>
        </w:tc>
        <w:tc>
          <w:tcPr>
            <w:tcW w:w="1540" w:type="dxa"/>
            <w:tcBorders>
              <w:top w:val="nil"/>
              <w:left w:val="single" w:sz="4" w:space="0" w:color="auto"/>
              <w:bottom w:val="single" w:sz="4" w:space="0" w:color="auto"/>
              <w:right w:val="single" w:sz="8" w:space="0" w:color="auto"/>
            </w:tcBorders>
            <w:shd w:val="clear" w:color="000000" w:fill="A6A6A6"/>
            <w:noWrap/>
            <w:vAlign w:val="center"/>
            <w:hideMark/>
          </w:tcPr>
          <w:p w14:paraId="60EE2968"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0%</w:t>
            </w:r>
          </w:p>
        </w:tc>
      </w:tr>
      <w:tr w:rsidR="00211BCE" w:rsidRPr="00211BCE" w14:paraId="6EA5AF1F" w14:textId="77777777" w:rsidTr="00211BCE">
        <w:trPr>
          <w:trHeight w:val="300"/>
        </w:trPr>
        <w:tc>
          <w:tcPr>
            <w:tcW w:w="5220" w:type="dxa"/>
            <w:tcBorders>
              <w:top w:val="nil"/>
              <w:left w:val="single" w:sz="8" w:space="0" w:color="auto"/>
              <w:bottom w:val="single" w:sz="8" w:space="0" w:color="auto"/>
              <w:right w:val="nil"/>
            </w:tcBorders>
            <w:shd w:val="clear" w:color="000000" w:fill="A6A6A6"/>
            <w:vAlign w:val="center"/>
            <w:hideMark/>
          </w:tcPr>
          <w:p w14:paraId="381E50EB"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12.  - Contributions en nature</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7E1322EE"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3F300351"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2FFC01D5"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71DF2630"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 </w:t>
            </w:r>
          </w:p>
        </w:tc>
        <w:tc>
          <w:tcPr>
            <w:tcW w:w="1540" w:type="dxa"/>
            <w:tcBorders>
              <w:top w:val="nil"/>
              <w:left w:val="single" w:sz="4" w:space="0" w:color="auto"/>
              <w:bottom w:val="single" w:sz="8" w:space="0" w:color="auto"/>
              <w:right w:val="single" w:sz="8" w:space="0" w:color="auto"/>
            </w:tcBorders>
            <w:shd w:val="clear" w:color="000000" w:fill="A6A6A6"/>
            <w:noWrap/>
            <w:vAlign w:val="center"/>
            <w:hideMark/>
          </w:tcPr>
          <w:p w14:paraId="18C8E92A" w14:textId="77777777" w:rsidR="00211BCE" w:rsidRPr="00211BCE" w:rsidRDefault="00211BCE" w:rsidP="00211BCE">
            <w:pPr>
              <w:jc w:val="right"/>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0%</w:t>
            </w:r>
          </w:p>
        </w:tc>
      </w:tr>
      <w:tr w:rsidR="00211BCE" w:rsidRPr="00211BCE" w14:paraId="2728D207" w14:textId="77777777" w:rsidTr="00211BCE">
        <w:trPr>
          <w:trHeight w:val="480"/>
        </w:trPr>
        <w:tc>
          <w:tcPr>
            <w:tcW w:w="5220" w:type="dxa"/>
            <w:tcBorders>
              <w:top w:val="nil"/>
              <w:left w:val="single" w:sz="8" w:space="0" w:color="auto"/>
              <w:bottom w:val="single" w:sz="8" w:space="0" w:color="auto"/>
              <w:right w:val="nil"/>
            </w:tcBorders>
            <w:shd w:val="clear" w:color="000000" w:fill="A6A6A6"/>
            <w:vAlign w:val="center"/>
            <w:hideMark/>
          </w:tcPr>
          <w:p w14:paraId="653C214F"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13. Total des coûts acceptés de l'action (11+12)</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4ED6C703"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215 183 646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209DACD6"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328 045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5BFC530D"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2 286 053 </w:t>
            </w:r>
          </w:p>
        </w:tc>
        <w:tc>
          <w:tcPr>
            <w:tcW w:w="1400" w:type="dxa"/>
            <w:tcBorders>
              <w:top w:val="nil"/>
              <w:left w:val="single" w:sz="4" w:space="0" w:color="auto"/>
              <w:bottom w:val="single" w:sz="8" w:space="0" w:color="auto"/>
              <w:right w:val="single" w:sz="8" w:space="0" w:color="auto"/>
            </w:tcBorders>
            <w:shd w:val="clear" w:color="000000" w:fill="A6A6A6"/>
            <w:noWrap/>
            <w:vAlign w:val="center"/>
            <w:hideMark/>
          </w:tcPr>
          <w:p w14:paraId="7A0AF43C" w14:textId="77777777" w:rsidR="00211BCE" w:rsidRPr="00211BCE" w:rsidRDefault="00211BCE" w:rsidP="00211BCE">
            <w:pPr>
              <w:rPr>
                <w:rFonts w:ascii="Calibri Light" w:eastAsia="Times New Roman" w:hAnsi="Calibri Light" w:cs="Calibri Light"/>
                <w:b/>
                <w:bCs/>
                <w:sz w:val="20"/>
                <w:szCs w:val="20"/>
                <w:lang w:eastAsia="fr-FR"/>
              </w:rPr>
            </w:pPr>
            <w:r w:rsidRPr="00211BCE">
              <w:rPr>
                <w:rFonts w:ascii="Calibri Light" w:eastAsia="Times New Roman" w:hAnsi="Calibri Light" w:cs="Calibri Light"/>
                <w:b/>
                <w:bCs/>
                <w:sz w:val="20"/>
                <w:szCs w:val="20"/>
                <w:lang w:eastAsia="fr-FR"/>
              </w:rPr>
              <w:t xml:space="preserve">            3 485 </w:t>
            </w:r>
          </w:p>
        </w:tc>
        <w:tc>
          <w:tcPr>
            <w:tcW w:w="1540" w:type="dxa"/>
            <w:tcBorders>
              <w:top w:val="nil"/>
              <w:left w:val="nil"/>
              <w:bottom w:val="single" w:sz="8" w:space="0" w:color="auto"/>
              <w:right w:val="single" w:sz="8" w:space="0" w:color="auto"/>
            </w:tcBorders>
            <w:shd w:val="clear" w:color="000000" w:fill="00B050"/>
            <w:noWrap/>
            <w:vAlign w:val="center"/>
            <w:hideMark/>
          </w:tcPr>
          <w:p w14:paraId="11488BD3" w14:textId="77777777" w:rsidR="00211BCE" w:rsidRPr="00211BCE" w:rsidRDefault="00211BCE" w:rsidP="00211BCE">
            <w:pPr>
              <w:jc w:val="right"/>
              <w:rPr>
                <w:rFonts w:ascii="Calibri Light" w:eastAsia="Times New Roman" w:hAnsi="Calibri Light" w:cs="Calibri Light"/>
                <w:b/>
                <w:bCs/>
                <w:sz w:val="36"/>
                <w:szCs w:val="36"/>
                <w:lang w:eastAsia="fr-FR"/>
              </w:rPr>
            </w:pPr>
            <w:r w:rsidRPr="00211BCE">
              <w:rPr>
                <w:rFonts w:ascii="Calibri Light" w:eastAsia="Times New Roman" w:hAnsi="Calibri Light" w:cs="Calibri Light"/>
                <w:b/>
                <w:bCs/>
                <w:sz w:val="36"/>
                <w:szCs w:val="36"/>
                <w:lang w:eastAsia="fr-FR"/>
              </w:rPr>
              <w:t>98,9%</w:t>
            </w:r>
          </w:p>
        </w:tc>
      </w:tr>
    </w:tbl>
    <w:p w14:paraId="3535659D" w14:textId="31FD20F3" w:rsidR="00D57AE6" w:rsidRDefault="00D57AE6" w:rsidP="00D57AE6">
      <w:pPr>
        <w:jc w:val="center"/>
        <w:rPr>
          <w:rFonts w:ascii="Book Antiqua" w:hAnsi="Book Antiqua" w:cs="Tahoma"/>
        </w:rPr>
        <w:sectPr w:rsidR="00D57AE6" w:rsidSect="00B85AB5">
          <w:pgSz w:w="16838" w:h="11906" w:orient="landscape"/>
          <w:pgMar w:top="1134" w:right="1134" w:bottom="1134" w:left="851" w:header="720" w:footer="720" w:gutter="0"/>
          <w:cols w:space="720"/>
          <w:titlePg/>
          <w:docGrid w:linePitch="326"/>
        </w:sectPr>
      </w:pPr>
    </w:p>
    <w:p w14:paraId="47ED0BA7" w14:textId="3F2408B8" w:rsidR="00836327" w:rsidRPr="00082F62" w:rsidRDefault="00836327" w:rsidP="00082F62">
      <w:pPr>
        <w:rPr>
          <w:rFonts w:ascii="Book Antiqua" w:hAnsi="Book Antiqua" w:cs="Tahoma"/>
        </w:rPr>
      </w:pPr>
    </w:p>
    <w:p w14:paraId="44A1C3F2" w14:textId="56479198" w:rsidR="00836327" w:rsidRPr="00D57AE6" w:rsidRDefault="00D57AE6" w:rsidP="00D57AE6">
      <w:pPr>
        <w:pStyle w:val="Titre1"/>
        <w:spacing w:line="240" w:lineRule="auto"/>
        <w:rPr>
          <w:rFonts w:ascii="Book Antiqua" w:hAnsi="Book Antiqua" w:cstheme="minorHAnsi"/>
          <w:color w:val="4472C4" w:themeColor="accent1"/>
          <w:sz w:val="22"/>
          <w:szCs w:val="22"/>
          <w:u w:val="single"/>
        </w:rPr>
      </w:pPr>
      <w:bookmarkStart w:id="11" w:name="_Toc223104668"/>
      <w:r w:rsidRPr="00D57AE6">
        <w:rPr>
          <w:rFonts w:ascii="Book Antiqua" w:hAnsi="Book Antiqua" w:cstheme="minorHAnsi"/>
          <w:color w:val="4472C4" w:themeColor="accent1"/>
          <w:sz w:val="22"/>
          <w:szCs w:val="22"/>
          <w:u w:val="single"/>
        </w:rPr>
        <w:t>CONCLUSION</w:t>
      </w:r>
      <w:bookmarkEnd w:id="11"/>
    </w:p>
    <w:p w14:paraId="11377996" w14:textId="77777777" w:rsidR="00836327" w:rsidRPr="00836327" w:rsidRDefault="00836327" w:rsidP="00836327">
      <w:pPr>
        <w:rPr>
          <w:rFonts w:ascii="Book Antiqua" w:hAnsi="Book Antiqua" w:cs="Tahoma"/>
        </w:rPr>
      </w:pPr>
    </w:p>
    <w:p w14:paraId="18401988" w14:textId="1C8030D0" w:rsidR="00836327" w:rsidRDefault="00057501" w:rsidP="00082F62">
      <w:pPr>
        <w:spacing w:line="360" w:lineRule="auto"/>
        <w:jc w:val="both"/>
        <w:rPr>
          <w:rFonts w:ascii="Book Antiqua" w:hAnsi="Book Antiqua" w:cs="Tahoma"/>
        </w:rPr>
      </w:pPr>
      <w:r>
        <w:rPr>
          <w:rFonts w:ascii="Book Antiqua" w:hAnsi="Book Antiqua" w:cs="Tahoma"/>
        </w:rPr>
        <w:t>Cette note</w:t>
      </w:r>
      <w:r w:rsidR="00836327" w:rsidRPr="00836327">
        <w:rPr>
          <w:rFonts w:ascii="Book Antiqua" w:hAnsi="Book Antiqua" w:cs="Tahoma"/>
        </w:rPr>
        <w:t xml:space="preserve"> synthétique de l’exécution des dépenses du Programme RAPPID sur l’exercice 202</w:t>
      </w:r>
      <w:r w:rsidR="00714B3B">
        <w:rPr>
          <w:rFonts w:ascii="Book Antiqua" w:hAnsi="Book Antiqua" w:cs="Tahoma"/>
        </w:rPr>
        <w:t>5</w:t>
      </w:r>
      <w:r w:rsidR="00836327" w:rsidRPr="00836327">
        <w:rPr>
          <w:rFonts w:ascii="Book Antiqua" w:hAnsi="Book Antiqua" w:cs="Tahoma"/>
        </w:rPr>
        <w:t xml:space="preserve">, nous </w:t>
      </w:r>
      <w:r>
        <w:rPr>
          <w:rFonts w:ascii="Book Antiqua" w:hAnsi="Book Antiqua" w:cs="Tahoma"/>
        </w:rPr>
        <w:t>fait</w:t>
      </w:r>
      <w:r w:rsidR="00836327" w:rsidRPr="00836327">
        <w:rPr>
          <w:rFonts w:ascii="Book Antiqua" w:hAnsi="Book Antiqua" w:cs="Tahoma"/>
        </w:rPr>
        <w:t xml:space="preserve"> observer que le taux de consommation globale du budget est de </w:t>
      </w:r>
      <w:r w:rsidR="009D02DB">
        <w:rPr>
          <w:rFonts w:ascii="Book Antiqua" w:hAnsi="Book Antiqua" w:cs="Tahoma"/>
        </w:rPr>
        <w:t>9</w:t>
      </w:r>
      <w:r w:rsidR="00714B3B">
        <w:rPr>
          <w:rFonts w:ascii="Book Antiqua" w:hAnsi="Book Antiqua" w:cs="Tahoma"/>
        </w:rPr>
        <w:t>8,9</w:t>
      </w:r>
      <w:r w:rsidR="00836327" w:rsidRPr="00836327">
        <w:rPr>
          <w:rFonts w:ascii="Book Antiqua" w:hAnsi="Book Antiqua" w:cs="Tahoma"/>
        </w:rPr>
        <w:t xml:space="preserve">% par rapport à la </w:t>
      </w:r>
      <w:r w:rsidR="00082F62" w:rsidRPr="00836327">
        <w:rPr>
          <w:rFonts w:ascii="Book Antiqua" w:hAnsi="Book Antiqua" w:cs="Tahoma"/>
        </w:rPr>
        <w:t>prévision</w:t>
      </w:r>
      <w:r w:rsidR="00714B3B">
        <w:rPr>
          <w:rFonts w:ascii="Book Antiqua" w:hAnsi="Book Antiqua" w:cs="Tahoma"/>
        </w:rPr>
        <w:t xml:space="preserve"> de 2025</w:t>
      </w:r>
      <w:r w:rsidR="00D57AE6">
        <w:rPr>
          <w:rFonts w:ascii="Book Antiqua" w:hAnsi="Book Antiqua" w:cs="Tahoma"/>
        </w:rPr>
        <w:t xml:space="preserve">. </w:t>
      </w:r>
      <w:r w:rsidR="0035676C">
        <w:rPr>
          <w:rFonts w:ascii="Book Antiqua" w:hAnsi="Book Antiqua" w:cs="Tahoma"/>
        </w:rPr>
        <w:t xml:space="preserve"> </w:t>
      </w:r>
    </w:p>
    <w:p w14:paraId="1471F3EA" w14:textId="4DBD7615" w:rsidR="00057501" w:rsidRDefault="00057501" w:rsidP="00082F62">
      <w:pPr>
        <w:spacing w:line="360" w:lineRule="auto"/>
        <w:jc w:val="both"/>
        <w:rPr>
          <w:rFonts w:ascii="Book Antiqua" w:hAnsi="Book Antiqua" w:cs="Tahoma"/>
        </w:rPr>
      </w:pPr>
      <w:r>
        <w:rPr>
          <w:rFonts w:ascii="Book Antiqua" w:hAnsi="Book Antiqua" w:cs="Tahoma"/>
        </w:rPr>
        <w:t>L’ensemble des dépenses ont été effectuées suivant le budget approuvé et les procédures en vigueur dans le manuel de procédures et des directives d</w:t>
      </w:r>
      <w:r w:rsidR="008331A4">
        <w:rPr>
          <w:rFonts w:ascii="Book Antiqua" w:hAnsi="Book Antiqua" w:cs="Tahoma"/>
        </w:rPr>
        <w:t>e l’accord de subvention</w:t>
      </w:r>
      <w:r w:rsidR="00F33D42">
        <w:rPr>
          <w:rFonts w:ascii="Book Antiqua" w:hAnsi="Book Antiqua" w:cs="Tahoma"/>
        </w:rPr>
        <w:t>.</w:t>
      </w:r>
    </w:p>
    <w:p w14:paraId="4F6ED60E" w14:textId="5033E40E" w:rsidR="003C59F1" w:rsidRDefault="003C59F1" w:rsidP="00082F62">
      <w:pPr>
        <w:spacing w:line="360" w:lineRule="auto"/>
        <w:jc w:val="both"/>
        <w:rPr>
          <w:rFonts w:ascii="Book Antiqua" w:hAnsi="Book Antiqua" w:cs="Tahoma"/>
        </w:rPr>
      </w:pPr>
      <w:r>
        <w:rPr>
          <w:rFonts w:ascii="Book Antiqua" w:hAnsi="Book Antiqua" w:cs="Tahoma"/>
        </w:rPr>
        <w:t>Nous remercions l’Ambassade des Pays-Bas pour l’appui financier et la mise à disposition des ressources</w:t>
      </w:r>
      <w:r w:rsidR="00EA6FF0">
        <w:rPr>
          <w:rFonts w:ascii="Book Antiqua" w:hAnsi="Book Antiqua" w:cs="Tahoma"/>
        </w:rPr>
        <w:t xml:space="preserve"> qui ont permis de financer les emplois</w:t>
      </w:r>
      <w:r>
        <w:rPr>
          <w:rFonts w:ascii="Book Antiqua" w:hAnsi="Book Antiqua" w:cs="Tahoma"/>
        </w:rPr>
        <w:t xml:space="preserve">. </w:t>
      </w:r>
    </w:p>
    <w:p w14:paraId="4642F843" w14:textId="0584E945" w:rsidR="00F33D42" w:rsidRDefault="00F33D42" w:rsidP="00082F62">
      <w:pPr>
        <w:spacing w:line="360" w:lineRule="auto"/>
        <w:jc w:val="both"/>
        <w:rPr>
          <w:rFonts w:ascii="Book Antiqua" w:hAnsi="Book Antiqua" w:cs="Tahoma"/>
        </w:rPr>
      </w:pPr>
    </w:p>
    <w:p w14:paraId="35E353B3" w14:textId="7FD861D4" w:rsidR="0051658D" w:rsidRPr="0051658D" w:rsidRDefault="00057501" w:rsidP="008331A4">
      <w:pPr>
        <w:spacing w:line="360" w:lineRule="auto"/>
        <w:jc w:val="both"/>
        <w:rPr>
          <w:rFonts w:ascii="Book Antiqua" w:hAnsi="Book Antiqua" w:cs="Tahoma"/>
        </w:rPr>
      </w:pPr>
      <w:r>
        <w:rPr>
          <w:rFonts w:ascii="Book Antiqua" w:hAnsi="Book Antiqua" w:cs="Tahoma"/>
        </w:rPr>
        <w:t xml:space="preserve"> </w:t>
      </w:r>
      <w:r w:rsidR="008331A4">
        <w:rPr>
          <w:rFonts w:ascii="Book Antiqua" w:hAnsi="Book Antiqua" w:cs="Tahoma"/>
        </w:rPr>
        <w:t xml:space="preserve"> </w:t>
      </w:r>
    </w:p>
    <w:p w14:paraId="6A113DC7" w14:textId="77777777" w:rsidR="0051658D" w:rsidRPr="0051658D" w:rsidRDefault="0051658D" w:rsidP="0051658D">
      <w:pPr>
        <w:rPr>
          <w:rFonts w:ascii="Book Antiqua" w:hAnsi="Book Antiqua" w:cs="Tahoma"/>
        </w:rPr>
      </w:pPr>
    </w:p>
    <w:p w14:paraId="59270BE9" w14:textId="77777777" w:rsidR="0051658D" w:rsidRPr="0051658D" w:rsidRDefault="0051658D" w:rsidP="0051658D">
      <w:pPr>
        <w:rPr>
          <w:rFonts w:ascii="Book Antiqua" w:hAnsi="Book Antiqua" w:cs="Tahoma"/>
        </w:rPr>
      </w:pPr>
    </w:p>
    <w:p w14:paraId="1D99D837" w14:textId="77777777" w:rsidR="0051658D" w:rsidRPr="0051658D" w:rsidRDefault="0051658D" w:rsidP="0051658D">
      <w:pPr>
        <w:rPr>
          <w:rFonts w:ascii="Book Antiqua" w:hAnsi="Book Antiqua" w:cs="Tahoma"/>
        </w:rPr>
      </w:pPr>
    </w:p>
    <w:p w14:paraId="4A155E47" w14:textId="77777777" w:rsidR="0051658D" w:rsidRPr="0051658D" w:rsidRDefault="0051658D" w:rsidP="0051658D">
      <w:pPr>
        <w:rPr>
          <w:rFonts w:ascii="Book Antiqua" w:hAnsi="Book Antiqua" w:cs="Tahoma"/>
        </w:rPr>
      </w:pPr>
    </w:p>
    <w:p w14:paraId="02E10A19" w14:textId="77777777" w:rsidR="0051658D" w:rsidRPr="0051658D" w:rsidRDefault="0051658D" w:rsidP="0051658D">
      <w:pPr>
        <w:rPr>
          <w:rFonts w:ascii="Book Antiqua" w:hAnsi="Book Antiqua" w:cs="Tahoma"/>
        </w:rPr>
      </w:pPr>
    </w:p>
    <w:p w14:paraId="3B182649" w14:textId="77777777" w:rsidR="0051658D" w:rsidRPr="0051658D" w:rsidRDefault="0051658D" w:rsidP="0051658D">
      <w:pPr>
        <w:rPr>
          <w:rFonts w:ascii="Book Antiqua" w:hAnsi="Book Antiqua" w:cs="Tahoma"/>
        </w:rPr>
      </w:pPr>
    </w:p>
    <w:p w14:paraId="0B29DC5A" w14:textId="77777777" w:rsidR="0051658D" w:rsidRPr="0051658D" w:rsidRDefault="0051658D" w:rsidP="0051658D">
      <w:pPr>
        <w:rPr>
          <w:rFonts w:ascii="Book Antiqua" w:hAnsi="Book Antiqua" w:cs="Tahoma"/>
        </w:rPr>
      </w:pPr>
    </w:p>
    <w:p w14:paraId="7C411DBE" w14:textId="77777777" w:rsidR="0051658D" w:rsidRPr="0051658D" w:rsidRDefault="0051658D" w:rsidP="0051658D">
      <w:pPr>
        <w:rPr>
          <w:rFonts w:ascii="Book Antiqua" w:hAnsi="Book Antiqua" w:cs="Tahoma"/>
        </w:rPr>
      </w:pPr>
    </w:p>
    <w:p w14:paraId="624403D1" w14:textId="77777777" w:rsidR="0051658D" w:rsidRDefault="0051658D" w:rsidP="0051658D">
      <w:pPr>
        <w:rPr>
          <w:rFonts w:ascii="Book Antiqua" w:hAnsi="Book Antiqua" w:cs="Tahoma"/>
        </w:rPr>
      </w:pPr>
    </w:p>
    <w:p w14:paraId="2A3C107F" w14:textId="77777777" w:rsidR="00C8703E" w:rsidRDefault="00C8703E" w:rsidP="0051658D">
      <w:pPr>
        <w:rPr>
          <w:rFonts w:ascii="Book Antiqua" w:hAnsi="Book Antiqua" w:cs="Tahoma"/>
        </w:rPr>
      </w:pPr>
    </w:p>
    <w:p w14:paraId="3F7B4267" w14:textId="77777777" w:rsidR="00C8703E" w:rsidRDefault="00C8703E" w:rsidP="0051658D">
      <w:pPr>
        <w:rPr>
          <w:rFonts w:ascii="Book Antiqua" w:hAnsi="Book Antiqua" w:cs="Tahoma"/>
        </w:rPr>
      </w:pPr>
    </w:p>
    <w:p w14:paraId="39727227" w14:textId="77777777" w:rsidR="00C8703E" w:rsidRDefault="00C8703E" w:rsidP="0051658D">
      <w:pPr>
        <w:rPr>
          <w:rFonts w:ascii="Book Antiqua" w:hAnsi="Book Antiqua" w:cs="Tahoma"/>
        </w:rPr>
      </w:pPr>
    </w:p>
    <w:p w14:paraId="5F184116" w14:textId="77777777" w:rsidR="00C8703E" w:rsidRDefault="00C8703E" w:rsidP="0051658D">
      <w:pPr>
        <w:rPr>
          <w:rFonts w:ascii="Book Antiqua" w:hAnsi="Book Antiqua" w:cs="Tahoma"/>
        </w:rPr>
      </w:pPr>
    </w:p>
    <w:p w14:paraId="680BA5FA" w14:textId="77777777" w:rsidR="00C8703E" w:rsidRDefault="00C8703E" w:rsidP="0051658D">
      <w:pPr>
        <w:rPr>
          <w:rFonts w:ascii="Book Antiqua" w:hAnsi="Book Antiqua" w:cs="Tahoma"/>
        </w:rPr>
      </w:pPr>
    </w:p>
    <w:p w14:paraId="5DE8CC86" w14:textId="77777777" w:rsidR="00C8703E" w:rsidRDefault="00C8703E" w:rsidP="0051658D">
      <w:pPr>
        <w:rPr>
          <w:rFonts w:ascii="Book Antiqua" w:hAnsi="Book Antiqua" w:cs="Tahoma"/>
        </w:rPr>
      </w:pPr>
    </w:p>
    <w:p w14:paraId="2AC63FD9" w14:textId="77777777" w:rsidR="00C8703E" w:rsidRDefault="00C8703E" w:rsidP="0051658D">
      <w:pPr>
        <w:rPr>
          <w:rFonts w:ascii="Book Antiqua" w:hAnsi="Book Antiqua" w:cs="Tahoma"/>
        </w:rPr>
      </w:pPr>
    </w:p>
    <w:p w14:paraId="279E0DBB" w14:textId="77777777" w:rsidR="00C8703E" w:rsidRDefault="00C8703E" w:rsidP="0051658D">
      <w:pPr>
        <w:rPr>
          <w:rFonts w:ascii="Book Antiqua" w:hAnsi="Book Antiqua" w:cs="Tahoma"/>
        </w:rPr>
      </w:pPr>
    </w:p>
    <w:p w14:paraId="04595D70" w14:textId="77777777" w:rsidR="00C8703E" w:rsidRDefault="00C8703E" w:rsidP="0051658D">
      <w:pPr>
        <w:rPr>
          <w:rFonts w:ascii="Book Antiqua" w:hAnsi="Book Antiqua" w:cs="Tahoma"/>
        </w:rPr>
      </w:pPr>
    </w:p>
    <w:p w14:paraId="1C7728C2" w14:textId="77777777" w:rsidR="00C8703E" w:rsidRDefault="00C8703E" w:rsidP="0051658D">
      <w:pPr>
        <w:rPr>
          <w:rFonts w:ascii="Book Antiqua" w:hAnsi="Book Antiqua" w:cs="Tahoma"/>
        </w:rPr>
      </w:pPr>
    </w:p>
    <w:p w14:paraId="5AB1AD45" w14:textId="77777777" w:rsidR="00C8703E" w:rsidRDefault="00C8703E" w:rsidP="0051658D">
      <w:pPr>
        <w:rPr>
          <w:rFonts w:ascii="Book Antiqua" w:hAnsi="Book Antiqua" w:cs="Tahoma"/>
        </w:rPr>
      </w:pPr>
    </w:p>
    <w:p w14:paraId="5D3FE98D" w14:textId="77777777" w:rsidR="00C8703E" w:rsidRDefault="00C8703E" w:rsidP="0051658D">
      <w:pPr>
        <w:rPr>
          <w:rFonts w:ascii="Book Antiqua" w:hAnsi="Book Antiqua" w:cs="Tahoma"/>
        </w:rPr>
      </w:pPr>
    </w:p>
    <w:p w14:paraId="3E975A97" w14:textId="77777777" w:rsidR="00C8703E" w:rsidRDefault="00C8703E" w:rsidP="0051658D">
      <w:pPr>
        <w:rPr>
          <w:rFonts w:ascii="Book Antiqua" w:hAnsi="Book Antiqua" w:cs="Tahoma"/>
        </w:rPr>
      </w:pPr>
    </w:p>
    <w:p w14:paraId="18E99409" w14:textId="7214084C" w:rsidR="006A4F66" w:rsidRPr="006A4F66" w:rsidRDefault="006A4F66" w:rsidP="006A4F66">
      <w:pPr>
        <w:tabs>
          <w:tab w:val="left" w:pos="3443"/>
        </w:tabs>
        <w:rPr>
          <w:rFonts w:ascii="Book Antiqua" w:hAnsi="Book Antiqua" w:cs="Tahoma"/>
        </w:rPr>
      </w:pPr>
    </w:p>
    <w:sectPr w:rsidR="006A4F66" w:rsidRPr="006A4F66" w:rsidSect="00836327">
      <w:footerReference w:type="defaul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7B19" w14:textId="77777777" w:rsidR="00A0109D" w:rsidRDefault="00A0109D" w:rsidP="00A35C66">
      <w:r>
        <w:separator/>
      </w:r>
    </w:p>
  </w:endnote>
  <w:endnote w:type="continuationSeparator" w:id="0">
    <w:p w14:paraId="6211CEC8" w14:textId="77777777" w:rsidR="00A0109D" w:rsidRDefault="00A0109D"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92595"/>
      <w:docPartObj>
        <w:docPartGallery w:val="Page Numbers (Bottom of Page)"/>
        <w:docPartUnique/>
      </w:docPartObj>
    </w:sdtPr>
    <w:sdtContent>
      <w:p w14:paraId="056FA957" w14:textId="22C75EFB" w:rsidR="00CB65F4" w:rsidRDefault="00CB65F4">
        <w:pPr>
          <w:pStyle w:val="Pieddepage"/>
          <w:jc w:val="right"/>
        </w:pPr>
        <w:r>
          <w:fldChar w:fldCharType="begin"/>
        </w:r>
        <w:r>
          <w:instrText>PAGE   \* MERGEFORMAT</w:instrText>
        </w:r>
        <w:r>
          <w:fldChar w:fldCharType="separate"/>
        </w:r>
        <w:r>
          <w:t>2</w:t>
        </w:r>
        <w:r>
          <w:fldChar w:fldCharType="end"/>
        </w:r>
      </w:p>
    </w:sdtContent>
  </w:sdt>
  <w:p w14:paraId="06772C52" w14:textId="77777777" w:rsidR="00CB65F4" w:rsidRDefault="00CB65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6AA0" w14:textId="77777777" w:rsidR="00CB65F4" w:rsidRDefault="00CB65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58A3" w14:textId="77777777" w:rsidR="00A0109D" w:rsidRDefault="00A0109D" w:rsidP="00A35C66">
      <w:r>
        <w:separator/>
      </w:r>
    </w:p>
  </w:footnote>
  <w:footnote w:type="continuationSeparator" w:id="0">
    <w:p w14:paraId="43E8FF7A" w14:textId="77777777" w:rsidR="00A0109D" w:rsidRDefault="00A0109D" w:rsidP="00A3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51D4" w14:textId="572E139C" w:rsidR="00CB65F4" w:rsidRDefault="00CB65F4">
    <w:pPr>
      <w:pStyle w:val="En-tte"/>
    </w:pPr>
    <w:r w:rsidRPr="001A1FAF">
      <w:rPr>
        <w:rFonts w:eastAsia="Times New Roman" w:cs="Times New Roman"/>
        <w:noProof/>
        <w:lang w:eastAsia="fr-FR"/>
      </w:rPr>
      <w:drawing>
        <wp:anchor distT="0" distB="0" distL="114300" distR="114300" simplePos="0" relativeHeight="251657216" behindDoc="1" locked="0" layoutInCell="1" allowOverlap="1" wp14:anchorId="6D8884EF" wp14:editId="18A25721">
          <wp:simplePos x="0" y="0"/>
          <wp:positionH relativeFrom="column">
            <wp:posOffset>4845685</wp:posOffset>
          </wp:positionH>
          <wp:positionV relativeFrom="paragraph">
            <wp:posOffset>6350</wp:posOffset>
          </wp:positionV>
          <wp:extent cx="1304925" cy="676275"/>
          <wp:effectExtent l="0" t="0" r="9525" b="9525"/>
          <wp:wrapNone/>
          <wp:docPr id="1235398975" name="Image 123539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5168" behindDoc="1" locked="0" layoutInCell="1" allowOverlap="1" wp14:anchorId="62562D46" wp14:editId="7A986752">
          <wp:simplePos x="0" y="0"/>
          <wp:positionH relativeFrom="column">
            <wp:posOffset>1758315</wp:posOffset>
          </wp:positionH>
          <wp:positionV relativeFrom="paragraph">
            <wp:posOffset>144780</wp:posOffset>
          </wp:positionV>
          <wp:extent cx="1109173" cy="623477"/>
          <wp:effectExtent l="0" t="0" r="0" b="5715"/>
          <wp:wrapNone/>
          <wp:docPr id="2012587949" name="Image 201258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109173" cy="623477"/>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43E43B50" wp14:editId="01EE0F63">
          <wp:extent cx="1875790" cy="815252"/>
          <wp:effectExtent l="0" t="0" r="0" b="0"/>
          <wp:docPr id="1716614692" name="Image 171661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5790" cy="8152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FA9" w14:textId="089445BB" w:rsidR="00CB65F4" w:rsidRDefault="00CB65F4" w:rsidP="007D63A4">
    <w:pPr>
      <w:pStyle w:val="En-tte"/>
      <w:tabs>
        <w:tab w:val="clear" w:pos="4536"/>
        <w:tab w:val="clear" w:pos="9072"/>
        <w:tab w:val="left" w:pos="7260"/>
      </w:tabs>
    </w:pPr>
    <w:r w:rsidRPr="001A1FAF">
      <w:rPr>
        <w:rFonts w:eastAsia="Times New Roman" w:cs="Times New Roman"/>
        <w:noProof/>
        <w:lang w:eastAsia="fr-FR"/>
      </w:rPr>
      <w:drawing>
        <wp:anchor distT="0" distB="0" distL="114300" distR="114300" simplePos="0" relativeHeight="251660288" behindDoc="0" locked="0" layoutInCell="1" allowOverlap="1" wp14:anchorId="48F4696F" wp14:editId="2DC5E58F">
          <wp:simplePos x="0" y="0"/>
          <wp:positionH relativeFrom="margin">
            <wp:posOffset>4983480</wp:posOffset>
          </wp:positionH>
          <wp:positionV relativeFrom="paragraph">
            <wp:posOffset>63500</wp:posOffset>
          </wp:positionV>
          <wp:extent cx="1304925" cy="676275"/>
          <wp:effectExtent l="0" t="0" r="9525" b="9525"/>
          <wp:wrapNone/>
          <wp:docPr id="1596448224" name="Image 159644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anchorId="786D512C" wp14:editId="4586984A">
          <wp:simplePos x="0" y="0"/>
          <wp:positionH relativeFrom="column">
            <wp:posOffset>1756411</wp:posOffset>
          </wp:positionH>
          <wp:positionV relativeFrom="paragraph">
            <wp:posOffset>139700</wp:posOffset>
          </wp:positionV>
          <wp:extent cx="1086744" cy="610870"/>
          <wp:effectExtent l="0" t="0" r="0" b="0"/>
          <wp:wrapNone/>
          <wp:docPr id="1145782675" name="Image 114578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106915" cy="622208"/>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3A01BD65" wp14:editId="6FCB8B9A">
          <wp:extent cx="1875790" cy="815252"/>
          <wp:effectExtent l="0" t="0" r="0" b="0"/>
          <wp:docPr id="1978659207" name="Image 197865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p>
  <w:p w14:paraId="68E749CD" w14:textId="77777777" w:rsidR="00CB65F4" w:rsidRDefault="00CB65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922"/>
    <w:multiLevelType w:val="multilevel"/>
    <w:tmpl w:val="C0F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7840"/>
    <w:multiLevelType w:val="hybridMultilevel"/>
    <w:tmpl w:val="FFFFFFFF"/>
    <w:lvl w:ilvl="0" w:tplc="D3447D04">
      <w:start w:val="1"/>
      <w:numFmt w:val="bullet"/>
      <w:lvlText w:val="-"/>
      <w:lvlJc w:val="left"/>
      <w:pPr>
        <w:ind w:left="415"/>
      </w:pPr>
      <w:rPr>
        <w:rFonts w:ascii="Times New Roman" w:eastAsia="Times New Roman" w:hAnsi="Times New Roman"/>
        <w:b w:val="0"/>
        <w:i w:val="0"/>
        <w:strike w:val="0"/>
        <w:dstrike w:val="0"/>
        <w:color w:val="0D0D0D"/>
        <w:sz w:val="18"/>
        <w:u w:val="none" w:color="000000"/>
        <w:vertAlign w:val="baseline"/>
      </w:rPr>
    </w:lvl>
    <w:lvl w:ilvl="1" w:tplc="7C123210">
      <w:start w:val="1"/>
      <w:numFmt w:val="bullet"/>
      <w:lvlText w:val="o"/>
      <w:lvlJc w:val="left"/>
      <w:pPr>
        <w:ind w:left="1243"/>
      </w:pPr>
      <w:rPr>
        <w:rFonts w:ascii="Times New Roman" w:eastAsia="Times New Roman" w:hAnsi="Times New Roman"/>
        <w:b w:val="0"/>
        <w:i w:val="0"/>
        <w:strike w:val="0"/>
        <w:dstrike w:val="0"/>
        <w:color w:val="0D0D0D"/>
        <w:sz w:val="18"/>
        <w:u w:val="none" w:color="000000"/>
        <w:vertAlign w:val="baseline"/>
      </w:rPr>
    </w:lvl>
    <w:lvl w:ilvl="2" w:tplc="16D0ADBE">
      <w:start w:val="1"/>
      <w:numFmt w:val="bullet"/>
      <w:lvlText w:val="▪"/>
      <w:lvlJc w:val="left"/>
      <w:pPr>
        <w:ind w:left="1963"/>
      </w:pPr>
      <w:rPr>
        <w:rFonts w:ascii="Times New Roman" w:eastAsia="Times New Roman" w:hAnsi="Times New Roman"/>
        <w:b w:val="0"/>
        <w:i w:val="0"/>
        <w:strike w:val="0"/>
        <w:dstrike w:val="0"/>
        <w:color w:val="0D0D0D"/>
        <w:sz w:val="18"/>
        <w:u w:val="none" w:color="000000"/>
        <w:vertAlign w:val="baseline"/>
      </w:rPr>
    </w:lvl>
    <w:lvl w:ilvl="3" w:tplc="C57CC66A">
      <w:start w:val="1"/>
      <w:numFmt w:val="bullet"/>
      <w:lvlText w:val="•"/>
      <w:lvlJc w:val="left"/>
      <w:pPr>
        <w:ind w:left="2683"/>
      </w:pPr>
      <w:rPr>
        <w:rFonts w:ascii="Times New Roman" w:eastAsia="Times New Roman" w:hAnsi="Times New Roman"/>
        <w:b w:val="0"/>
        <w:i w:val="0"/>
        <w:strike w:val="0"/>
        <w:dstrike w:val="0"/>
        <w:color w:val="0D0D0D"/>
        <w:sz w:val="18"/>
        <w:u w:val="none" w:color="000000"/>
        <w:vertAlign w:val="baseline"/>
      </w:rPr>
    </w:lvl>
    <w:lvl w:ilvl="4" w:tplc="83A85EBE">
      <w:start w:val="1"/>
      <w:numFmt w:val="bullet"/>
      <w:lvlText w:val="o"/>
      <w:lvlJc w:val="left"/>
      <w:pPr>
        <w:ind w:left="3403"/>
      </w:pPr>
      <w:rPr>
        <w:rFonts w:ascii="Times New Roman" w:eastAsia="Times New Roman" w:hAnsi="Times New Roman"/>
        <w:b w:val="0"/>
        <w:i w:val="0"/>
        <w:strike w:val="0"/>
        <w:dstrike w:val="0"/>
        <w:color w:val="0D0D0D"/>
        <w:sz w:val="18"/>
        <w:u w:val="none" w:color="000000"/>
        <w:vertAlign w:val="baseline"/>
      </w:rPr>
    </w:lvl>
    <w:lvl w:ilvl="5" w:tplc="30B02770">
      <w:start w:val="1"/>
      <w:numFmt w:val="bullet"/>
      <w:lvlText w:val="▪"/>
      <w:lvlJc w:val="left"/>
      <w:pPr>
        <w:ind w:left="4123"/>
      </w:pPr>
      <w:rPr>
        <w:rFonts w:ascii="Times New Roman" w:eastAsia="Times New Roman" w:hAnsi="Times New Roman"/>
        <w:b w:val="0"/>
        <w:i w:val="0"/>
        <w:strike w:val="0"/>
        <w:dstrike w:val="0"/>
        <w:color w:val="0D0D0D"/>
        <w:sz w:val="18"/>
        <w:u w:val="none" w:color="000000"/>
        <w:vertAlign w:val="baseline"/>
      </w:rPr>
    </w:lvl>
    <w:lvl w:ilvl="6" w:tplc="7BFAB2EA">
      <w:start w:val="1"/>
      <w:numFmt w:val="bullet"/>
      <w:lvlText w:val="•"/>
      <w:lvlJc w:val="left"/>
      <w:pPr>
        <w:ind w:left="4843"/>
      </w:pPr>
      <w:rPr>
        <w:rFonts w:ascii="Times New Roman" w:eastAsia="Times New Roman" w:hAnsi="Times New Roman"/>
        <w:b w:val="0"/>
        <w:i w:val="0"/>
        <w:strike w:val="0"/>
        <w:dstrike w:val="0"/>
        <w:color w:val="0D0D0D"/>
        <w:sz w:val="18"/>
        <w:u w:val="none" w:color="000000"/>
        <w:vertAlign w:val="baseline"/>
      </w:rPr>
    </w:lvl>
    <w:lvl w:ilvl="7" w:tplc="2F427A52">
      <w:start w:val="1"/>
      <w:numFmt w:val="bullet"/>
      <w:lvlText w:val="o"/>
      <w:lvlJc w:val="left"/>
      <w:pPr>
        <w:ind w:left="5563"/>
      </w:pPr>
      <w:rPr>
        <w:rFonts w:ascii="Times New Roman" w:eastAsia="Times New Roman" w:hAnsi="Times New Roman"/>
        <w:b w:val="0"/>
        <w:i w:val="0"/>
        <w:strike w:val="0"/>
        <w:dstrike w:val="0"/>
        <w:color w:val="0D0D0D"/>
        <w:sz w:val="18"/>
        <w:u w:val="none" w:color="000000"/>
        <w:vertAlign w:val="baseline"/>
      </w:rPr>
    </w:lvl>
    <w:lvl w:ilvl="8" w:tplc="1B585EDC">
      <w:start w:val="1"/>
      <w:numFmt w:val="bullet"/>
      <w:lvlText w:val="▪"/>
      <w:lvlJc w:val="left"/>
      <w:pPr>
        <w:ind w:left="6283"/>
      </w:pPr>
      <w:rPr>
        <w:rFonts w:ascii="Times New Roman" w:eastAsia="Times New Roman" w:hAnsi="Times New Roman"/>
        <w:b w:val="0"/>
        <w:i w:val="0"/>
        <w:strike w:val="0"/>
        <w:dstrike w:val="0"/>
        <w:color w:val="0D0D0D"/>
        <w:sz w:val="18"/>
        <w:u w:val="none" w:color="000000"/>
        <w:vertAlign w:val="baseline"/>
      </w:rPr>
    </w:lvl>
  </w:abstractNum>
  <w:abstractNum w:abstractNumId="2" w15:restartNumberingAfterBreak="0">
    <w:nsid w:val="0FEF6C4C"/>
    <w:multiLevelType w:val="multilevel"/>
    <w:tmpl w:val="FBD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59E4"/>
    <w:multiLevelType w:val="hybridMultilevel"/>
    <w:tmpl w:val="8B18AF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D51629"/>
    <w:multiLevelType w:val="hybridMultilevel"/>
    <w:tmpl w:val="A1282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26F4F"/>
    <w:multiLevelType w:val="hybridMultilevel"/>
    <w:tmpl w:val="2CDC5672"/>
    <w:lvl w:ilvl="0" w:tplc="353E1A44">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90E756C"/>
    <w:multiLevelType w:val="multilevel"/>
    <w:tmpl w:val="F5B8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50A98"/>
    <w:multiLevelType w:val="hybridMultilevel"/>
    <w:tmpl w:val="51BC1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65F04"/>
    <w:multiLevelType w:val="multilevel"/>
    <w:tmpl w:val="AFA8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C244B"/>
    <w:multiLevelType w:val="hybridMultilevel"/>
    <w:tmpl w:val="2132078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6B06269"/>
    <w:multiLevelType w:val="hybridMultilevel"/>
    <w:tmpl w:val="E40AFBF0"/>
    <w:lvl w:ilvl="0" w:tplc="517C8492">
      <w:start w:val="1"/>
      <w:numFmt w:val="bullet"/>
      <w:lvlText w:val="-"/>
      <w:lvlJc w:val="left"/>
      <w:pPr>
        <w:ind w:left="360" w:hanging="360"/>
      </w:pPr>
      <w:rPr>
        <w:rFonts w:ascii="Arial" w:eastAsia="SimSu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625483"/>
    <w:multiLevelType w:val="hybridMultilevel"/>
    <w:tmpl w:val="CAD6072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2052DAA"/>
    <w:multiLevelType w:val="hybridMultilevel"/>
    <w:tmpl w:val="9334AB6E"/>
    <w:lvl w:ilvl="0" w:tplc="49C0C2E6">
      <w:start w:val="10"/>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9D25DBC"/>
    <w:multiLevelType w:val="hybridMultilevel"/>
    <w:tmpl w:val="D6CE58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D3B4EE9"/>
    <w:multiLevelType w:val="hybridMultilevel"/>
    <w:tmpl w:val="953EFD3A"/>
    <w:lvl w:ilvl="0" w:tplc="2CCC1E3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0D202A6"/>
    <w:multiLevelType w:val="multilevel"/>
    <w:tmpl w:val="B4F6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F383C"/>
    <w:multiLevelType w:val="multilevel"/>
    <w:tmpl w:val="36A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713A4"/>
    <w:multiLevelType w:val="hybridMultilevel"/>
    <w:tmpl w:val="0744205A"/>
    <w:lvl w:ilvl="0" w:tplc="DF8EE55E">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DFB3CEB"/>
    <w:multiLevelType w:val="hybridMultilevel"/>
    <w:tmpl w:val="AC4A1592"/>
    <w:lvl w:ilvl="0" w:tplc="517C8492">
      <w:start w:val="1"/>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800B7E"/>
    <w:multiLevelType w:val="hybridMultilevel"/>
    <w:tmpl w:val="EA067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07243F"/>
    <w:multiLevelType w:val="hybridMultilevel"/>
    <w:tmpl w:val="75187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99E2299"/>
    <w:multiLevelType w:val="hybridMultilevel"/>
    <w:tmpl w:val="FB628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9C1124"/>
    <w:multiLevelType w:val="hybridMultilevel"/>
    <w:tmpl w:val="967A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7B7648"/>
    <w:multiLevelType w:val="multilevel"/>
    <w:tmpl w:val="EC34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47F7D"/>
    <w:multiLevelType w:val="hybridMultilevel"/>
    <w:tmpl w:val="F5FA1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5480C56"/>
    <w:multiLevelType w:val="hybridMultilevel"/>
    <w:tmpl w:val="744CFF26"/>
    <w:lvl w:ilvl="0" w:tplc="24E8360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6D3021"/>
    <w:multiLevelType w:val="hybridMultilevel"/>
    <w:tmpl w:val="3276691A"/>
    <w:lvl w:ilvl="0" w:tplc="26284E6C">
      <w:start w:val="1"/>
      <w:numFmt w:val="bullet"/>
      <w:lvlText w:val=""/>
      <w:lvlJc w:val="left"/>
      <w:pPr>
        <w:tabs>
          <w:tab w:val="num" w:pos="360"/>
        </w:tabs>
        <w:ind w:left="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53547"/>
    <w:multiLevelType w:val="hybridMultilevel"/>
    <w:tmpl w:val="02DCF93C"/>
    <w:lvl w:ilvl="0" w:tplc="3906EE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855845922">
    <w:abstractNumId w:val="21"/>
  </w:num>
  <w:num w:numId="2" w16cid:durableId="1175920632">
    <w:abstractNumId w:val="4"/>
  </w:num>
  <w:num w:numId="3" w16cid:durableId="568923696">
    <w:abstractNumId w:val="25"/>
  </w:num>
  <w:num w:numId="4" w16cid:durableId="754085524">
    <w:abstractNumId w:val="3"/>
  </w:num>
  <w:num w:numId="5" w16cid:durableId="1873957187">
    <w:abstractNumId w:val="13"/>
  </w:num>
  <w:num w:numId="6" w16cid:durableId="130252776">
    <w:abstractNumId w:val="19"/>
  </w:num>
  <w:num w:numId="7" w16cid:durableId="1029839596">
    <w:abstractNumId w:val="7"/>
  </w:num>
  <w:num w:numId="8" w16cid:durableId="636759925">
    <w:abstractNumId w:val="14"/>
  </w:num>
  <w:num w:numId="9" w16cid:durableId="294681722">
    <w:abstractNumId w:val="5"/>
  </w:num>
  <w:num w:numId="10" w16cid:durableId="1274439896">
    <w:abstractNumId w:val="23"/>
  </w:num>
  <w:num w:numId="11" w16cid:durableId="1966737252">
    <w:abstractNumId w:val="17"/>
  </w:num>
  <w:num w:numId="12" w16cid:durableId="2069373682">
    <w:abstractNumId w:val="1"/>
  </w:num>
  <w:num w:numId="13" w16cid:durableId="1733040234">
    <w:abstractNumId w:val="18"/>
  </w:num>
  <w:num w:numId="14" w16cid:durableId="2141024918">
    <w:abstractNumId w:val="22"/>
  </w:num>
  <w:num w:numId="15" w16cid:durableId="1099447708">
    <w:abstractNumId w:val="9"/>
  </w:num>
  <w:num w:numId="16" w16cid:durableId="1514952783">
    <w:abstractNumId w:val="11"/>
  </w:num>
  <w:num w:numId="17" w16cid:durableId="299043908">
    <w:abstractNumId w:val="10"/>
  </w:num>
  <w:num w:numId="18" w16cid:durableId="2085713565">
    <w:abstractNumId w:val="27"/>
  </w:num>
  <w:num w:numId="19" w16cid:durableId="1045986916">
    <w:abstractNumId w:val="26"/>
  </w:num>
  <w:num w:numId="20" w16cid:durableId="1720936855">
    <w:abstractNumId w:val="12"/>
  </w:num>
  <w:num w:numId="21" w16cid:durableId="1494100209">
    <w:abstractNumId w:val="20"/>
  </w:num>
  <w:num w:numId="22" w16cid:durableId="212499589">
    <w:abstractNumId w:val="28"/>
  </w:num>
  <w:num w:numId="23" w16cid:durableId="244071344">
    <w:abstractNumId w:val="6"/>
  </w:num>
  <w:num w:numId="24" w16cid:durableId="798260284">
    <w:abstractNumId w:val="8"/>
  </w:num>
  <w:num w:numId="25" w16cid:durableId="2039164286">
    <w:abstractNumId w:val="2"/>
  </w:num>
  <w:num w:numId="26" w16cid:durableId="669941410">
    <w:abstractNumId w:val="0"/>
  </w:num>
  <w:num w:numId="27" w16cid:durableId="720905726">
    <w:abstractNumId w:val="24"/>
  </w:num>
  <w:num w:numId="28" w16cid:durableId="898981187">
    <w:abstractNumId w:val="16"/>
  </w:num>
  <w:num w:numId="29" w16cid:durableId="149463740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B4"/>
    <w:rsid w:val="00002560"/>
    <w:rsid w:val="00004172"/>
    <w:rsid w:val="00005807"/>
    <w:rsid w:val="0000614C"/>
    <w:rsid w:val="000061BF"/>
    <w:rsid w:val="00007E4D"/>
    <w:rsid w:val="00010ECD"/>
    <w:rsid w:val="00011CAB"/>
    <w:rsid w:val="0001222B"/>
    <w:rsid w:val="000132BD"/>
    <w:rsid w:val="00013AFD"/>
    <w:rsid w:val="0001461F"/>
    <w:rsid w:val="00014F4F"/>
    <w:rsid w:val="00015CAD"/>
    <w:rsid w:val="0001612F"/>
    <w:rsid w:val="00017DBE"/>
    <w:rsid w:val="00022404"/>
    <w:rsid w:val="00023058"/>
    <w:rsid w:val="000241AB"/>
    <w:rsid w:val="00025D96"/>
    <w:rsid w:val="000266BE"/>
    <w:rsid w:val="00026F70"/>
    <w:rsid w:val="00027D51"/>
    <w:rsid w:val="00030421"/>
    <w:rsid w:val="00030AF0"/>
    <w:rsid w:val="000318D1"/>
    <w:rsid w:val="00031DCC"/>
    <w:rsid w:val="00032820"/>
    <w:rsid w:val="00034EC7"/>
    <w:rsid w:val="00041571"/>
    <w:rsid w:val="000420C2"/>
    <w:rsid w:val="00043059"/>
    <w:rsid w:val="000430EC"/>
    <w:rsid w:val="000438A3"/>
    <w:rsid w:val="000441E4"/>
    <w:rsid w:val="00044B15"/>
    <w:rsid w:val="000469C1"/>
    <w:rsid w:val="00047E10"/>
    <w:rsid w:val="00050837"/>
    <w:rsid w:val="00051190"/>
    <w:rsid w:val="00051645"/>
    <w:rsid w:val="00051D3F"/>
    <w:rsid w:val="000531C9"/>
    <w:rsid w:val="00055169"/>
    <w:rsid w:val="0005529D"/>
    <w:rsid w:val="00057501"/>
    <w:rsid w:val="00057999"/>
    <w:rsid w:val="00057B0E"/>
    <w:rsid w:val="00060A11"/>
    <w:rsid w:val="00061B06"/>
    <w:rsid w:val="0006230E"/>
    <w:rsid w:val="00062323"/>
    <w:rsid w:val="00062BE9"/>
    <w:rsid w:val="00063778"/>
    <w:rsid w:val="00065B65"/>
    <w:rsid w:val="000709A4"/>
    <w:rsid w:val="000760CD"/>
    <w:rsid w:val="00081E35"/>
    <w:rsid w:val="00082904"/>
    <w:rsid w:val="00082D66"/>
    <w:rsid w:val="00082F62"/>
    <w:rsid w:val="000851FB"/>
    <w:rsid w:val="00085CCB"/>
    <w:rsid w:val="0008626C"/>
    <w:rsid w:val="000921B6"/>
    <w:rsid w:val="000923B1"/>
    <w:rsid w:val="0009266D"/>
    <w:rsid w:val="00092EA0"/>
    <w:rsid w:val="00094062"/>
    <w:rsid w:val="000952EA"/>
    <w:rsid w:val="000953A6"/>
    <w:rsid w:val="000963BF"/>
    <w:rsid w:val="00096429"/>
    <w:rsid w:val="0009646C"/>
    <w:rsid w:val="000A21B0"/>
    <w:rsid w:val="000A2AD9"/>
    <w:rsid w:val="000A56EC"/>
    <w:rsid w:val="000A7EC4"/>
    <w:rsid w:val="000B1650"/>
    <w:rsid w:val="000B1983"/>
    <w:rsid w:val="000B3BE3"/>
    <w:rsid w:val="000B43E3"/>
    <w:rsid w:val="000B6539"/>
    <w:rsid w:val="000B6F3C"/>
    <w:rsid w:val="000B7B68"/>
    <w:rsid w:val="000C01E5"/>
    <w:rsid w:val="000C11D0"/>
    <w:rsid w:val="000C252D"/>
    <w:rsid w:val="000C271C"/>
    <w:rsid w:val="000C2A47"/>
    <w:rsid w:val="000C3A1B"/>
    <w:rsid w:val="000C5C6B"/>
    <w:rsid w:val="000C5C8A"/>
    <w:rsid w:val="000C6321"/>
    <w:rsid w:val="000C718C"/>
    <w:rsid w:val="000D0A3A"/>
    <w:rsid w:val="000D0D0E"/>
    <w:rsid w:val="000D3DF2"/>
    <w:rsid w:val="000D402C"/>
    <w:rsid w:val="000D609E"/>
    <w:rsid w:val="000D6325"/>
    <w:rsid w:val="000D7F64"/>
    <w:rsid w:val="000E0FDF"/>
    <w:rsid w:val="000E1B93"/>
    <w:rsid w:val="000E36D9"/>
    <w:rsid w:val="000E4453"/>
    <w:rsid w:val="000E4883"/>
    <w:rsid w:val="000E4BDE"/>
    <w:rsid w:val="000E4C33"/>
    <w:rsid w:val="000E5BF6"/>
    <w:rsid w:val="000E6BC5"/>
    <w:rsid w:val="000F0C4D"/>
    <w:rsid w:val="000F31B6"/>
    <w:rsid w:val="000F52C5"/>
    <w:rsid w:val="000F6065"/>
    <w:rsid w:val="000F7B5E"/>
    <w:rsid w:val="00102089"/>
    <w:rsid w:val="00102CF0"/>
    <w:rsid w:val="001034DF"/>
    <w:rsid w:val="00106EA3"/>
    <w:rsid w:val="001111F4"/>
    <w:rsid w:val="001117B4"/>
    <w:rsid w:val="00112D79"/>
    <w:rsid w:val="00114667"/>
    <w:rsid w:val="0011674C"/>
    <w:rsid w:val="0012021A"/>
    <w:rsid w:val="0012260A"/>
    <w:rsid w:val="001236A6"/>
    <w:rsid w:val="001240B0"/>
    <w:rsid w:val="00126FFC"/>
    <w:rsid w:val="00127F6B"/>
    <w:rsid w:val="0013021F"/>
    <w:rsid w:val="00130D84"/>
    <w:rsid w:val="00130F14"/>
    <w:rsid w:val="001329F6"/>
    <w:rsid w:val="00135E10"/>
    <w:rsid w:val="00137121"/>
    <w:rsid w:val="001402B9"/>
    <w:rsid w:val="00141E0B"/>
    <w:rsid w:val="001457ED"/>
    <w:rsid w:val="00146792"/>
    <w:rsid w:val="00151933"/>
    <w:rsid w:val="00151DC7"/>
    <w:rsid w:val="001535A6"/>
    <w:rsid w:val="001541FA"/>
    <w:rsid w:val="00157C01"/>
    <w:rsid w:val="00160B59"/>
    <w:rsid w:val="00163418"/>
    <w:rsid w:val="00163556"/>
    <w:rsid w:val="001655A8"/>
    <w:rsid w:val="001671CD"/>
    <w:rsid w:val="00167745"/>
    <w:rsid w:val="001705EB"/>
    <w:rsid w:val="00172633"/>
    <w:rsid w:val="001744D1"/>
    <w:rsid w:val="00174697"/>
    <w:rsid w:val="001748B9"/>
    <w:rsid w:val="00174D61"/>
    <w:rsid w:val="001756CD"/>
    <w:rsid w:val="001759D0"/>
    <w:rsid w:val="0017603E"/>
    <w:rsid w:val="00176634"/>
    <w:rsid w:val="0018121D"/>
    <w:rsid w:val="0018292A"/>
    <w:rsid w:val="001843CF"/>
    <w:rsid w:val="001856B1"/>
    <w:rsid w:val="00185CE1"/>
    <w:rsid w:val="00186170"/>
    <w:rsid w:val="001876C7"/>
    <w:rsid w:val="001911A6"/>
    <w:rsid w:val="0019183E"/>
    <w:rsid w:val="00193013"/>
    <w:rsid w:val="0019489A"/>
    <w:rsid w:val="001952B2"/>
    <w:rsid w:val="00195D6E"/>
    <w:rsid w:val="00196364"/>
    <w:rsid w:val="00196E09"/>
    <w:rsid w:val="001A1F66"/>
    <w:rsid w:val="001A2084"/>
    <w:rsid w:val="001A44FA"/>
    <w:rsid w:val="001A5B3D"/>
    <w:rsid w:val="001B0094"/>
    <w:rsid w:val="001B00C5"/>
    <w:rsid w:val="001B3C8F"/>
    <w:rsid w:val="001B3CBE"/>
    <w:rsid w:val="001B4E90"/>
    <w:rsid w:val="001B5A16"/>
    <w:rsid w:val="001B5D87"/>
    <w:rsid w:val="001B6E32"/>
    <w:rsid w:val="001B709F"/>
    <w:rsid w:val="001B739D"/>
    <w:rsid w:val="001B787A"/>
    <w:rsid w:val="001C3931"/>
    <w:rsid w:val="001C3ED1"/>
    <w:rsid w:val="001C68E1"/>
    <w:rsid w:val="001C74A0"/>
    <w:rsid w:val="001C79E2"/>
    <w:rsid w:val="001C7E3A"/>
    <w:rsid w:val="001D0BCA"/>
    <w:rsid w:val="001D0FCF"/>
    <w:rsid w:val="001D37A1"/>
    <w:rsid w:val="001D4DED"/>
    <w:rsid w:val="001D5AF7"/>
    <w:rsid w:val="001D5B1B"/>
    <w:rsid w:val="001D63A8"/>
    <w:rsid w:val="001D763A"/>
    <w:rsid w:val="001E246C"/>
    <w:rsid w:val="001E2D6E"/>
    <w:rsid w:val="001E359F"/>
    <w:rsid w:val="001E6FDB"/>
    <w:rsid w:val="001E7D98"/>
    <w:rsid w:val="001F03E6"/>
    <w:rsid w:val="001F2EBD"/>
    <w:rsid w:val="001F40C7"/>
    <w:rsid w:val="001F45BC"/>
    <w:rsid w:val="001F5947"/>
    <w:rsid w:val="001F5B70"/>
    <w:rsid w:val="001F6E84"/>
    <w:rsid w:val="001F70ED"/>
    <w:rsid w:val="001F7359"/>
    <w:rsid w:val="00201417"/>
    <w:rsid w:val="00201530"/>
    <w:rsid w:val="002020DF"/>
    <w:rsid w:val="00202E78"/>
    <w:rsid w:val="0020426E"/>
    <w:rsid w:val="002050F1"/>
    <w:rsid w:val="00207271"/>
    <w:rsid w:val="00207A87"/>
    <w:rsid w:val="0021099C"/>
    <w:rsid w:val="00210DB2"/>
    <w:rsid w:val="00210E8F"/>
    <w:rsid w:val="00210FC5"/>
    <w:rsid w:val="002117AC"/>
    <w:rsid w:val="00211BCE"/>
    <w:rsid w:val="00211E66"/>
    <w:rsid w:val="0021231A"/>
    <w:rsid w:val="002129C7"/>
    <w:rsid w:val="00213347"/>
    <w:rsid w:val="002143D1"/>
    <w:rsid w:val="00214B2F"/>
    <w:rsid w:val="0022109E"/>
    <w:rsid w:val="00222F5B"/>
    <w:rsid w:val="002249D4"/>
    <w:rsid w:val="002267B4"/>
    <w:rsid w:val="00227750"/>
    <w:rsid w:val="0023281A"/>
    <w:rsid w:val="00232BE5"/>
    <w:rsid w:val="00232C00"/>
    <w:rsid w:val="002350B1"/>
    <w:rsid w:val="00236256"/>
    <w:rsid w:val="002363E0"/>
    <w:rsid w:val="00240861"/>
    <w:rsid w:val="00241592"/>
    <w:rsid w:val="0024491E"/>
    <w:rsid w:val="00245F6D"/>
    <w:rsid w:val="00247986"/>
    <w:rsid w:val="002510CD"/>
    <w:rsid w:val="002522F3"/>
    <w:rsid w:val="0025312E"/>
    <w:rsid w:val="002537D0"/>
    <w:rsid w:val="00255994"/>
    <w:rsid w:val="00255ECB"/>
    <w:rsid w:val="00256028"/>
    <w:rsid w:val="0025640D"/>
    <w:rsid w:val="00257865"/>
    <w:rsid w:val="0026063E"/>
    <w:rsid w:val="00263B0E"/>
    <w:rsid w:val="00265102"/>
    <w:rsid w:val="002664CF"/>
    <w:rsid w:val="00270799"/>
    <w:rsid w:val="00271A45"/>
    <w:rsid w:val="002734B0"/>
    <w:rsid w:val="00273879"/>
    <w:rsid w:val="00273E5E"/>
    <w:rsid w:val="00275AA1"/>
    <w:rsid w:val="00277DF3"/>
    <w:rsid w:val="00280A14"/>
    <w:rsid w:val="00280F23"/>
    <w:rsid w:val="002810B3"/>
    <w:rsid w:val="00281228"/>
    <w:rsid w:val="00281ED3"/>
    <w:rsid w:val="00285DC5"/>
    <w:rsid w:val="00287838"/>
    <w:rsid w:val="00290F52"/>
    <w:rsid w:val="002916EC"/>
    <w:rsid w:val="00291823"/>
    <w:rsid w:val="00291B43"/>
    <w:rsid w:val="0029252B"/>
    <w:rsid w:val="002933FA"/>
    <w:rsid w:val="00293630"/>
    <w:rsid w:val="002944DE"/>
    <w:rsid w:val="002A0FC3"/>
    <w:rsid w:val="002A159E"/>
    <w:rsid w:val="002A2F64"/>
    <w:rsid w:val="002A424D"/>
    <w:rsid w:val="002A5CB2"/>
    <w:rsid w:val="002A62F6"/>
    <w:rsid w:val="002B0F94"/>
    <w:rsid w:val="002B0FC1"/>
    <w:rsid w:val="002B14FB"/>
    <w:rsid w:val="002B23E7"/>
    <w:rsid w:val="002B2CFC"/>
    <w:rsid w:val="002B37D7"/>
    <w:rsid w:val="002B412D"/>
    <w:rsid w:val="002B4174"/>
    <w:rsid w:val="002B731B"/>
    <w:rsid w:val="002B79E0"/>
    <w:rsid w:val="002C092F"/>
    <w:rsid w:val="002C0E41"/>
    <w:rsid w:val="002C1DC9"/>
    <w:rsid w:val="002C1E1B"/>
    <w:rsid w:val="002C3B09"/>
    <w:rsid w:val="002C4EC5"/>
    <w:rsid w:val="002C526B"/>
    <w:rsid w:val="002C7369"/>
    <w:rsid w:val="002D1658"/>
    <w:rsid w:val="002D20FF"/>
    <w:rsid w:val="002D217F"/>
    <w:rsid w:val="002D301B"/>
    <w:rsid w:val="002D3B28"/>
    <w:rsid w:val="002D471E"/>
    <w:rsid w:val="002D4860"/>
    <w:rsid w:val="002D5A5C"/>
    <w:rsid w:val="002D6741"/>
    <w:rsid w:val="002D7211"/>
    <w:rsid w:val="002D751C"/>
    <w:rsid w:val="002E003F"/>
    <w:rsid w:val="002E1AA4"/>
    <w:rsid w:val="002E1F01"/>
    <w:rsid w:val="002E2C3C"/>
    <w:rsid w:val="002E627C"/>
    <w:rsid w:val="002F0FFF"/>
    <w:rsid w:val="002F30F0"/>
    <w:rsid w:val="002F336C"/>
    <w:rsid w:val="002F365E"/>
    <w:rsid w:val="002F4692"/>
    <w:rsid w:val="002F54FE"/>
    <w:rsid w:val="002F5E78"/>
    <w:rsid w:val="002F5EA0"/>
    <w:rsid w:val="002F6949"/>
    <w:rsid w:val="002F79EC"/>
    <w:rsid w:val="002F7D63"/>
    <w:rsid w:val="002F7EB3"/>
    <w:rsid w:val="00300E07"/>
    <w:rsid w:val="00301F1D"/>
    <w:rsid w:val="00303B14"/>
    <w:rsid w:val="0030424C"/>
    <w:rsid w:val="00305FE2"/>
    <w:rsid w:val="00310A3C"/>
    <w:rsid w:val="003112D1"/>
    <w:rsid w:val="00311B44"/>
    <w:rsid w:val="00311F04"/>
    <w:rsid w:val="003122CB"/>
    <w:rsid w:val="00315407"/>
    <w:rsid w:val="00317C0D"/>
    <w:rsid w:val="003202CD"/>
    <w:rsid w:val="00321D4B"/>
    <w:rsid w:val="00322B3B"/>
    <w:rsid w:val="00322FE2"/>
    <w:rsid w:val="00326D5A"/>
    <w:rsid w:val="003274C5"/>
    <w:rsid w:val="0032766E"/>
    <w:rsid w:val="00327B5F"/>
    <w:rsid w:val="00330067"/>
    <w:rsid w:val="0033048C"/>
    <w:rsid w:val="00331E1F"/>
    <w:rsid w:val="00333758"/>
    <w:rsid w:val="00336CBC"/>
    <w:rsid w:val="00340A03"/>
    <w:rsid w:val="00342D23"/>
    <w:rsid w:val="00343BCC"/>
    <w:rsid w:val="003441FE"/>
    <w:rsid w:val="003453E0"/>
    <w:rsid w:val="003459B7"/>
    <w:rsid w:val="00346446"/>
    <w:rsid w:val="003470BA"/>
    <w:rsid w:val="0035051C"/>
    <w:rsid w:val="00351593"/>
    <w:rsid w:val="00351745"/>
    <w:rsid w:val="0035346B"/>
    <w:rsid w:val="00353A28"/>
    <w:rsid w:val="003548A5"/>
    <w:rsid w:val="00354A7F"/>
    <w:rsid w:val="0035676C"/>
    <w:rsid w:val="00356B09"/>
    <w:rsid w:val="00356DE9"/>
    <w:rsid w:val="003570E4"/>
    <w:rsid w:val="00360713"/>
    <w:rsid w:val="00360EE0"/>
    <w:rsid w:val="00360F3A"/>
    <w:rsid w:val="00360FD5"/>
    <w:rsid w:val="003638D9"/>
    <w:rsid w:val="00363A1F"/>
    <w:rsid w:val="00367304"/>
    <w:rsid w:val="003701AE"/>
    <w:rsid w:val="003715A6"/>
    <w:rsid w:val="00374AEF"/>
    <w:rsid w:val="00374F40"/>
    <w:rsid w:val="0037516F"/>
    <w:rsid w:val="003753C5"/>
    <w:rsid w:val="00375926"/>
    <w:rsid w:val="003760F6"/>
    <w:rsid w:val="00376B0E"/>
    <w:rsid w:val="00377E8A"/>
    <w:rsid w:val="00381B05"/>
    <w:rsid w:val="00382D9F"/>
    <w:rsid w:val="00383808"/>
    <w:rsid w:val="00390556"/>
    <w:rsid w:val="00390573"/>
    <w:rsid w:val="0039068A"/>
    <w:rsid w:val="0039217F"/>
    <w:rsid w:val="00395BB3"/>
    <w:rsid w:val="00397D99"/>
    <w:rsid w:val="003A0387"/>
    <w:rsid w:val="003A1BCB"/>
    <w:rsid w:val="003A2165"/>
    <w:rsid w:val="003A240D"/>
    <w:rsid w:val="003A3A0D"/>
    <w:rsid w:val="003A45D4"/>
    <w:rsid w:val="003A4A0B"/>
    <w:rsid w:val="003A612E"/>
    <w:rsid w:val="003A62FF"/>
    <w:rsid w:val="003A70BD"/>
    <w:rsid w:val="003B3718"/>
    <w:rsid w:val="003B6B39"/>
    <w:rsid w:val="003B6E06"/>
    <w:rsid w:val="003B7E9A"/>
    <w:rsid w:val="003C1317"/>
    <w:rsid w:val="003C1C8C"/>
    <w:rsid w:val="003C2B6A"/>
    <w:rsid w:val="003C32AB"/>
    <w:rsid w:val="003C3FD4"/>
    <w:rsid w:val="003C4397"/>
    <w:rsid w:val="003C4BB6"/>
    <w:rsid w:val="003C59F1"/>
    <w:rsid w:val="003C71AD"/>
    <w:rsid w:val="003C7676"/>
    <w:rsid w:val="003D04E0"/>
    <w:rsid w:val="003D04F0"/>
    <w:rsid w:val="003D07D1"/>
    <w:rsid w:val="003D11E0"/>
    <w:rsid w:val="003D1A06"/>
    <w:rsid w:val="003D1EB2"/>
    <w:rsid w:val="003D42A1"/>
    <w:rsid w:val="003D4B07"/>
    <w:rsid w:val="003D5C92"/>
    <w:rsid w:val="003D6353"/>
    <w:rsid w:val="003D784F"/>
    <w:rsid w:val="003E1551"/>
    <w:rsid w:val="003E1C6C"/>
    <w:rsid w:val="003E2441"/>
    <w:rsid w:val="003E3514"/>
    <w:rsid w:val="003E47B3"/>
    <w:rsid w:val="003E4DA9"/>
    <w:rsid w:val="003E5053"/>
    <w:rsid w:val="003E518D"/>
    <w:rsid w:val="003F0418"/>
    <w:rsid w:val="003F156F"/>
    <w:rsid w:val="003F1E69"/>
    <w:rsid w:val="003F4075"/>
    <w:rsid w:val="003F58B3"/>
    <w:rsid w:val="003F6D82"/>
    <w:rsid w:val="003F6FB6"/>
    <w:rsid w:val="004018C7"/>
    <w:rsid w:val="00404334"/>
    <w:rsid w:val="00404339"/>
    <w:rsid w:val="00405596"/>
    <w:rsid w:val="004055E2"/>
    <w:rsid w:val="00405791"/>
    <w:rsid w:val="00405CA8"/>
    <w:rsid w:val="00407BA3"/>
    <w:rsid w:val="004105BC"/>
    <w:rsid w:val="00411EF1"/>
    <w:rsid w:val="004132D8"/>
    <w:rsid w:val="00413DAA"/>
    <w:rsid w:val="00415543"/>
    <w:rsid w:val="00416371"/>
    <w:rsid w:val="00416DB0"/>
    <w:rsid w:val="004200D7"/>
    <w:rsid w:val="0042072F"/>
    <w:rsid w:val="00421176"/>
    <w:rsid w:val="00421671"/>
    <w:rsid w:val="00421BD2"/>
    <w:rsid w:val="00422814"/>
    <w:rsid w:val="00422BCC"/>
    <w:rsid w:val="00422BCF"/>
    <w:rsid w:val="0042606D"/>
    <w:rsid w:val="00427F4E"/>
    <w:rsid w:val="00427FA2"/>
    <w:rsid w:val="004312EB"/>
    <w:rsid w:val="00432881"/>
    <w:rsid w:val="00433AFB"/>
    <w:rsid w:val="00434AA9"/>
    <w:rsid w:val="00436376"/>
    <w:rsid w:val="0043662B"/>
    <w:rsid w:val="0044020E"/>
    <w:rsid w:val="004404D6"/>
    <w:rsid w:val="00441B73"/>
    <w:rsid w:val="00441E9D"/>
    <w:rsid w:val="00441EE0"/>
    <w:rsid w:val="004420DF"/>
    <w:rsid w:val="00443608"/>
    <w:rsid w:val="00443A82"/>
    <w:rsid w:val="00444717"/>
    <w:rsid w:val="004503D9"/>
    <w:rsid w:val="0045079A"/>
    <w:rsid w:val="004508EF"/>
    <w:rsid w:val="00452B25"/>
    <w:rsid w:val="00456AF8"/>
    <w:rsid w:val="00457297"/>
    <w:rsid w:val="00457D38"/>
    <w:rsid w:val="00460538"/>
    <w:rsid w:val="00464525"/>
    <w:rsid w:val="004653A1"/>
    <w:rsid w:val="00467133"/>
    <w:rsid w:val="004716C9"/>
    <w:rsid w:val="004721A7"/>
    <w:rsid w:val="004725AF"/>
    <w:rsid w:val="00477696"/>
    <w:rsid w:val="00481F8C"/>
    <w:rsid w:val="00482692"/>
    <w:rsid w:val="0048415C"/>
    <w:rsid w:val="00485C3F"/>
    <w:rsid w:val="00485D74"/>
    <w:rsid w:val="00486D6C"/>
    <w:rsid w:val="004913FB"/>
    <w:rsid w:val="004925D3"/>
    <w:rsid w:val="00493CB4"/>
    <w:rsid w:val="0049455F"/>
    <w:rsid w:val="004963EE"/>
    <w:rsid w:val="004A2864"/>
    <w:rsid w:val="004A2962"/>
    <w:rsid w:val="004A5338"/>
    <w:rsid w:val="004A5A81"/>
    <w:rsid w:val="004A6970"/>
    <w:rsid w:val="004B00B5"/>
    <w:rsid w:val="004B21F8"/>
    <w:rsid w:val="004B27FD"/>
    <w:rsid w:val="004B33EB"/>
    <w:rsid w:val="004B4285"/>
    <w:rsid w:val="004B57AD"/>
    <w:rsid w:val="004B5AC6"/>
    <w:rsid w:val="004C1C70"/>
    <w:rsid w:val="004C3DE0"/>
    <w:rsid w:val="004C592D"/>
    <w:rsid w:val="004C632D"/>
    <w:rsid w:val="004C6F93"/>
    <w:rsid w:val="004C7C1D"/>
    <w:rsid w:val="004C7E2F"/>
    <w:rsid w:val="004D09CC"/>
    <w:rsid w:val="004D218E"/>
    <w:rsid w:val="004D2D7C"/>
    <w:rsid w:val="004D4A8C"/>
    <w:rsid w:val="004D53BF"/>
    <w:rsid w:val="004D553C"/>
    <w:rsid w:val="004D716B"/>
    <w:rsid w:val="004E055A"/>
    <w:rsid w:val="004E0571"/>
    <w:rsid w:val="004E334C"/>
    <w:rsid w:val="004E3958"/>
    <w:rsid w:val="004E3E58"/>
    <w:rsid w:val="004E63E4"/>
    <w:rsid w:val="004E6F6F"/>
    <w:rsid w:val="004F0002"/>
    <w:rsid w:val="004F0193"/>
    <w:rsid w:val="004F27CF"/>
    <w:rsid w:val="004F368F"/>
    <w:rsid w:val="004F4689"/>
    <w:rsid w:val="004F4EEE"/>
    <w:rsid w:val="00500649"/>
    <w:rsid w:val="0050304C"/>
    <w:rsid w:val="00504D6D"/>
    <w:rsid w:val="00505C85"/>
    <w:rsid w:val="00505DB9"/>
    <w:rsid w:val="00506944"/>
    <w:rsid w:val="00506B75"/>
    <w:rsid w:val="00507A87"/>
    <w:rsid w:val="00510899"/>
    <w:rsid w:val="00510CF4"/>
    <w:rsid w:val="00512986"/>
    <w:rsid w:val="0051360B"/>
    <w:rsid w:val="005136D6"/>
    <w:rsid w:val="0051658D"/>
    <w:rsid w:val="00516960"/>
    <w:rsid w:val="0051747A"/>
    <w:rsid w:val="005208F2"/>
    <w:rsid w:val="005218A5"/>
    <w:rsid w:val="00523B67"/>
    <w:rsid w:val="00524F07"/>
    <w:rsid w:val="0052551B"/>
    <w:rsid w:val="0052777E"/>
    <w:rsid w:val="00530684"/>
    <w:rsid w:val="00531D83"/>
    <w:rsid w:val="00531E60"/>
    <w:rsid w:val="00533658"/>
    <w:rsid w:val="005340D0"/>
    <w:rsid w:val="005361DD"/>
    <w:rsid w:val="00536DF2"/>
    <w:rsid w:val="00540003"/>
    <w:rsid w:val="00541097"/>
    <w:rsid w:val="00542109"/>
    <w:rsid w:val="005430EB"/>
    <w:rsid w:val="00544C43"/>
    <w:rsid w:val="00546B4C"/>
    <w:rsid w:val="00550648"/>
    <w:rsid w:val="0055086C"/>
    <w:rsid w:val="00550D5F"/>
    <w:rsid w:val="00551D7B"/>
    <w:rsid w:val="0055325E"/>
    <w:rsid w:val="005552D4"/>
    <w:rsid w:val="005564D1"/>
    <w:rsid w:val="005635A9"/>
    <w:rsid w:val="005663EB"/>
    <w:rsid w:val="00571FFE"/>
    <w:rsid w:val="00572313"/>
    <w:rsid w:val="005729AB"/>
    <w:rsid w:val="00573A72"/>
    <w:rsid w:val="005741ED"/>
    <w:rsid w:val="00576BE1"/>
    <w:rsid w:val="00577792"/>
    <w:rsid w:val="00581A94"/>
    <w:rsid w:val="005820E9"/>
    <w:rsid w:val="005827AE"/>
    <w:rsid w:val="00583216"/>
    <w:rsid w:val="00584086"/>
    <w:rsid w:val="00586777"/>
    <w:rsid w:val="00586D2F"/>
    <w:rsid w:val="00591B52"/>
    <w:rsid w:val="005933EF"/>
    <w:rsid w:val="0059358C"/>
    <w:rsid w:val="00593D70"/>
    <w:rsid w:val="00594105"/>
    <w:rsid w:val="005954D3"/>
    <w:rsid w:val="00595982"/>
    <w:rsid w:val="00596279"/>
    <w:rsid w:val="005A0507"/>
    <w:rsid w:val="005A0EDB"/>
    <w:rsid w:val="005A339D"/>
    <w:rsid w:val="005A3991"/>
    <w:rsid w:val="005A3D30"/>
    <w:rsid w:val="005A4DFE"/>
    <w:rsid w:val="005A6181"/>
    <w:rsid w:val="005A6F56"/>
    <w:rsid w:val="005A7ADA"/>
    <w:rsid w:val="005B0295"/>
    <w:rsid w:val="005B0D72"/>
    <w:rsid w:val="005B128B"/>
    <w:rsid w:val="005B3E12"/>
    <w:rsid w:val="005B436B"/>
    <w:rsid w:val="005B6005"/>
    <w:rsid w:val="005B6CC4"/>
    <w:rsid w:val="005C0509"/>
    <w:rsid w:val="005C0F15"/>
    <w:rsid w:val="005C2A62"/>
    <w:rsid w:val="005C4B48"/>
    <w:rsid w:val="005C5CFD"/>
    <w:rsid w:val="005C6425"/>
    <w:rsid w:val="005D0470"/>
    <w:rsid w:val="005D1E96"/>
    <w:rsid w:val="005D5F95"/>
    <w:rsid w:val="005D6F76"/>
    <w:rsid w:val="005D7D8B"/>
    <w:rsid w:val="005D7D91"/>
    <w:rsid w:val="005D7EDB"/>
    <w:rsid w:val="005E132B"/>
    <w:rsid w:val="005E2BE8"/>
    <w:rsid w:val="005E3AF8"/>
    <w:rsid w:val="005E4ED4"/>
    <w:rsid w:val="005E773C"/>
    <w:rsid w:val="005F08A2"/>
    <w:rsid w:val="005F0CAF"/>
    <w:rsid w:val="005F2378"/>
    <w:rsid w:val="005F35E6"/>
    <w:rsid w:val="005F3698"/>
    <w:rsid w:val="005F44B7"/>
    <w:rsid w:val="005F5A07"/>
    <w:rsid w:val="00601202"/>
    <w:rsid w:val="00603BB7"/>
    <w:rsid w:val="0060421F"/>
    <w:rsid w:val="00606769"/>
    <w:rsid w:val="00610190"/>
    <w:rsid w:val="006102CD"/>
    <w:rsid w:val="00611EFB"/>
    <w:rsid w:val="00613092"/>
    <w:rsid w:val="00616D90"/>
    <w:rsid w:val="00617D78"/>
    <w:rsid w:val="00621F5D"/>
    <w:rsid w:val="00622029"/>
    <w:rsid w:val="006230D1"/>
    <w:rsid w:val="006237F6"/>
    <w:rsid w:val="006248D5"/>
    <w:rsid w:val="00625BB6"/>
    <w:rsid w:val="00627F61"/>
    <w:rsid w:val="00630AA6"/>
    <w:rsid w:val="00630B1D"/>
    <w:rsid w:val="00631564"/>
    <w:rsid w:val="006321FA"/>
    <w:rsid w:val="00633E24"/>
    <w:rsid w:val="00634344"/>
    <w:rsid w:val="00634786"/>
    <w:rsid w:val="00634FF0"/>
    <w:rsid w:val="0063783E"/>
    <w:rsid w:val="00642A98"/>
    <w:rsid w:val="00646F92"/>
    <w:rsid w:val="00650FE3"/>
    <w:rsid w:val="00651D76"/>
    <w:rsid w:val="0065271C"/>
    <w:rsid w:val="00652A0A"/>
    <w:rsid w:val="00654731"/>
    <w:rsid w:val="00656F58"/>
    <w:rsid w:val="006624B2"/>
    <w:rsid w:val="0066278E"/>
    <w:rsid w:val="00663061"/>
    <w:rsid w:val="00664686"/>
    <w:rsid w:val="00664A0F"/>
    <w:rsid w:val="0066510E"/>
    <w:rsid w:val="0067059D"/>
    <w:rsid w:val="00673AFC"/>
    <w:rsid w:val="00675125"/>
    <w:rsid w:val="00675D31"/>
    <w:rsid w:val="00682B80"/>
    <w:rsid w:val="0068540F"/>
    <w:rsid w:val="006860E9"/>
    <w:rsid w:val="00686798"/>
    <w:rsid w:val="006878C7"/>
    <w:rsid w:val="00690395"/>
    <w:rsid w:val="006911F7"/>
    <w:rsid w:val="00691BDE"/>
    <w:rsid w:val="00691E47"/>
    <w:rsid w:val="00692C93"/>
    <w:rsid w:val="00692E4C"/>
    <w:rsid w:val="00693A69"/>
    <w:rsid w:val="006950E9"/>
    <w:rsid w:val="00696C98"/>
    <w:rsid w:val="006A006C"/>
    <w:rsid w:val="006A0435"/>
    <w:rsid w:val="006A08AC"/>
    <w:rsid w:val="006A293C"/>
    <w:rsid w:val="006A3F69"/>
    <w:rsid w:val="006A4B08"/>
    <w:rsid w:val="006A4F66"/>
    <w:rsid w:val="006B0AC3"/>
    <w:rsid w:val="006B0FB7"/>
    <w:rsid w:val="006B27D7"/>
    <w:rsid w:val="006B7046"/>
    <w:rsid w:val="006C3A79"/>
    <w:rsid w:val="006C5ABA"/>
    <w:rsid w:val="006C5E18"/>
    <w:rsid w:val="006C78FF"/>
    <w:rsid w:val="006D0AFE"/>
    <w:rsid w:val="006D0C18"/>
    <w:rsid w:val="006D4611"/>
    <w:rsid w:val="006D5210"/>
    <w:rsid w:val="006D5593"/>
    <w:rsid w:val="006D579A"/>
    <w:rsid w:val="006D656B"/>
    <w:rsid w:val="006D74CE"/>
    <w:rsid w:val="006E2981"/>
    <w:rsid w:val="006E4743"/>
    <w:rsid w:val="006E48A1"/>
    <w:rsid w:val="006E4F40"/>
    <w:rsid w:val="006E5558"/>
    <w:rsid w:val="006E5E37"/>
    <w:rsid w:val="006E7523"/>
    <w:rsid w:val="006F1F15"/>
    <w:rsid w:val="006F4701"/>
    <w:rsid w:val="006F734A"/>
    <w:rsid w:val="006F7C7F"/>
    <w:rsid w:val="0070007D"/>
    <w:rsid w:val="007017E6"/>
    <w:rsid w:val="0070245B"/>
    <w:rsid w:val="0070361E"/>
    <w:rsid w:val="007037C7"/>
    <w:rsid w:val="00705492"/>
    <w:rsid w:val="007055B8"/>
    <w:rsid w:val="00705FA3"/>
    <w:rsid w:val="00707823"/>
    <w:rsid w:val="007108CB"/>
    <w:rsid w:val="00711A6D"/>
    <w:rsid w:val="007120F7"/>
    <w:rsid w:val="00714B3B"/>
    <w:rsid w:val="007168AC"/>
    <w:rsid w:val="007170A0"/>
    <w:rsid w:val="00720BDB"/>
    <w:rsid w:val="00722E68"/>
    <w:rsid w:val="00725B3E"/>
    <w:rsid w:val="00727044"/>
    <w:rsid w:val="0073094A"/>
    <w:rsid w:val="0073336E"/>
    <w:rsid w:val="007336FA"/>
    <w:rsid w:val="007337FA"/>
    <w:rsid w:val="00733CCC"/>
    <w:rsid w:val="00733DC0"/>
    <w:rsid w:val="00734BB7"/>
    <w:rsid w:val="007353C1"/>
    <w:rsid w:val="00735597"/>
    <w:rsid w:val="00735855"/>
    <w:rsid w:val="00740F0E"/>
    <w:rsid w:val="00740F4D"/>
    <w:rsid w:val="007428C2"/>
    <w:rsid w:val="00743A54"/>
    <w:rsid w:val="00745549"/>
    <w:rsid w:val="0074587A"/>
    <w:rsid w:val="00746A7C"/>
    <w:rsid w:val="00746E3D"/>
    <w:rsid w:val="00752BF1"/>
    <w:rsid w:val="00752E66"/>
    <w:rsid w:val="00754057"/>
    <w:rsid w:val="00756D13"/>
    <w:rsid w:val="00756E06"/>
    <w:rsid w:val="00757094"/>
    <w:rsid w:val="007574C7"/>
    <w:rsid w:val="00757741"/>
    <w:rsid w:val="00757F3A"/>
    <w:rsid w:val="00761F75"/>
    <w:rsid w:val="007622D0"/>
    <w:rsid w:val="00762BBC"/>
    <w:rsid w:val="00772F8F"/>
    <w:rsid w:val="00774288"/>
    <w:rsid w:val="00775002"/>
    <w:rsid w:val="00775D6D"/>
    <w:rsid w:val="00776124"/>
    <w:rsid w:val="00776678"/>
    <w:rsid w:val="0077759A"/>
    <w:rsid w:val="007806A8"/>
    <w:rsid w:val="00781C36"/>
    <w:rsid w:val="0078270F"/>
    <w:rsid w:val="007829CB"/>
    <w:rsid w:val="007833F5"/>
    <w:rsid w:val="0078614D"/>
    <w:rsid w:val="00787958"/>
    <w:rsid w:val="00792672"/>
    <w:rsid w:val="00792B7A"/>
    <w:rsid w:val="00792C16"/>
    <w:rsid w:val="007957E0"/>
    <w:rsid w:val="0079704A"/>
    <w:rsid w:val="007A2782"/>
    <w:rsid w:val="007A3DB0"/>
    <w:rsid w:val="007A3F8A"/>
    <w:rsid w:val="007A40F4"/>
    <w:rsid w:val="007A4C6B"/>
    <w:rsid w:val="007A55EB"/>
    <w:rsid w:val="007A59D0"/>
    <w:rsid w:val="007A629B"/>
    <w:rsid w:val="007A6C31"/>
    <w:rsid w:val="007B1561"/>
    <w:rsid w:val="007B6024"/>
    <w:rsid w:val="007C063A"/>
    <w:rsid w:val="007C1495"/>
    <w:rsid w:val="007C22D0"/>
    <w:rsid w:val="007C42D5"/>
    <w:rsid w:val="007C5A26"/>
    <w:rsid w:val="007C5B4B"/>
    <w:rsid w:val="007C5DB1"/>
    <w:rsid w:val="007C767E"/>
    <w:rsid w:val="007C79D1"/>
    <w:rsid w:val="007D1697"/>
    <w:rsid w:val="007D1850"/>
    <w:rsid w:val="007D1958"/>
    <w:rsid w:val="007D2EAF"/>
    <w:rsid w:val="007D2EFC"/>
    <w:rsid w:val="007D2F7E"/>
    <w:rsid w:val="007D3230"/>
    <w:rsid w:val="007D63A4"/>
    <w:rsid w:val="007D7053"/>
    <w:rsid w:val="007D7EC4"/>
    <w:rsid w:val="007E0598"/>
    <w:rsid w:val="007E0C4A"/>
    <w:rsid w:val="007E2F3C"/>
    <w:rsid w:val="007E51D1"/>
    <w:rsid w:val="007F14F1"/>
    <w:rsid w:val="007F154B"/>
    <w:rsid w:val="007F1D35"/>
    <w:rsid w:val="007F2E58"/>
    <w:rsid w:val="007F32C3"/>
    <w:rsid w:val="007F4E7D"/>
    <w:rsid w:val="007F5B79"/>
    <w:rsid w:val="007F67DB"/>
    <w:rsid w:val="007F7CF5"/>
    <w:rsid w:val="0080094B"/>
    <w:rsid w:val="00803F6C"/>
    <w:rsid w:val="008041F4"/>
    <w:rsid w:val="008067E4"/>
    <w:rsid w:val="00810712"/>
    <w:rsid w:val="008114D6"/>
    <w:rsid w:val="00815AF2"/>
    <w:rsid w:val="00817087"/>
    <w:rsid w:val="008170CB"/>
    <w:rsid w:val="00817169"/>
    <w:rsid w:val="00821D93"/>
    <w:rsid w:val="0082232C"/>
    <w:rsid w:val="00824A43"/>
    <w:rsid w:val="00825269"/>
    <w:rsid w:val="00825CB4"/>
    <w:rsid w:val="00826348"/>
    <w:rsid w:val="00826CFD"/>
    <w:rsid w:val="00830116"/>
    <w:rsid w:val="00832B55"/>
    <w:rsid w:val="008331A4"/>
    <w:rsid w:val="0083435C"/>
    <w:rsid w:val="008347D1"/>
    <w:rsid w:val="0083612E"/>
    <w:rsid w:val="00836327"/>
    <w:rsid w:val="0083682A"/>
    <w:rsid w:val="00836952"/>
    <w:rsid w:val="008378BF"/>
    <w:rsid w:val="00837A4D"/>
    <w:rsid w:val="00840374"/>
    <w:rsid w:val="008413EF"/>
    <w:rsid w:val="008433AC"/>
    <w:rsid w:val="00843528"/>
    <w:rsid w:val="00843EF5"/>
    <w:rsid w:val="00844BB0"/>
    <w:rsid w:val="00845BEC"/>
    <w:rsid w:val="0084600A"/>
    <w:rsid w:val="008468C2"/>
    <w:rsid w:val="00846D5E"/>
    <w:rsid w:val="00847836"/>
    <w:rsid w:val="008501B5"/>
    <w:rsid w:val="00850FE0"/>
    <w:rsid w:val="008517EE"/>
    <w:rsid w:val="00851D78"/>
    <w:rsid w:val="0085301D"/>
    <w:rsid w:val="00853BA1"/>
    <w:rsid w:val="008545F3"/>
    <w:rsid w:val="00854D98"/>
    <w:rsid w:val="00861EB0"/>
    <w:rsid w:val="00862C2C"/>
    <w:rsid w:val="00863284"/>
    <w:rsid w:val="00863AE0"/>
    <w:rsid w:val="00864FAE"/>
    <w:rsid w:val="00865A9F"/>
    <w:rsid w:val="00867830"/>
    <w:rsid w:val="00871799"/>
    <w:rsid w:val="00871F2F"/>
    <w:rsid w:val="0087261E"/>
    <w:rsid w:val="00872FDE"/>
    <w:rsid w:val="008753D0"/>
    <w:rsid w:val="00876460"/>
    <w:rsid w:val="00881819"/>
    <w:rsid w:val="00881CA0"/>
    <w:rsid w:val="00883A0F"/>
    <w:rsid w:val="00883C69"/>
    <w:rsid w:val="008858D6"/>
    <w:rsid w:val="00887FD0"/>
    <w:rsid w:val="0089316D"/>
    <w:rsid w:val="00893729"/>
    <w:rsid w:val="008944BE"/>
    <w:rsid w:val="00895383"/>
    <w:rsid w:val="00895EC1"/>
    <w:rsid w:val="008A150E"/>
    <w:rsid w:val="008A36FE"/>
    <w:rsid w:val="008A4D83"/>
    <w:rsid w:val="008A556F"/>
    <w:rsid w:val="008B34B9"/>
    <w:rsid w:val="008B69B2"/>
    <w:rsid w:val="008B6A91"/>
    <w:rsid w:val="008B6EF4"/>
    <w:rsid w:val="008C00FC"/>
    <w:rsid w:val="008C3781"/>
    <w:rsid w:val="008C4A28"/>
    <w:rsid w:val="008C6A17"/>
    <w:rsid w:val="008C7C14"/>
    <w:rsid w:val="008D0E4A"/>
    <w:rsid w:val="008D0F30"/>
    <w:rsid w:val="008D6463"/>
    <w:rsid w:val="008D650F"/>
    <w:rsid w:val="008E092D"/>
    <w:rsid w:val="008E1C5D"/>
    <w:rsid w:val="008E2643"/>
    <w:rsid w:val="008E27C2"/>
    <w:rsid w:val="008E596E"/>
    <w:rsid w:val="008E63EC"/>
    <w:rsid w:val="008F29EF"/>
    <w:rsid w:val="008F3A2D"/>
    <w:rsid w:val="008F6855"/>
    <w:rsid w:val="008F720F"/>
    <w:rsid w:val="00901DA5"/>
    <w:rsid w:val="00903157"/>
    <w:rsid w:val="00904872"/>
    <w:rsid w:val="0090511C"/>
    <w:rsid w:val="00905E69"/>
    <w:rsid w:val="00907053"/>
    <w:rsid w:val="00911696"/>
    <w:rsid w:val="00911CA3"/>
    <w:rsid w:val="00912D43"/>
    <w:rsid w:val="00914092"/>
    <w:rsid w:val="009153FF"/>
    <w:rsid w:val="009205CE"/>
    <w:rsid w:val="009215F4"/>
    <w:rsid w:val="00922494"/>
    <w:rsid w:val="0092344C"/>
    <w:rsid w:val="009264BA"/>
    <w:rsid w:val="0092670D"/>
    <w:rsid w:val="009279B9"/>
    <w:rsid w:val="00927C73"/>
    <w:rsid w:val="0093401D"/>
    <w:rsid w:val="00936ACC"/>
    <w:rsid w:val="00936C94"/>
    <w:rsid w:val="00937C52"/>
    <w:rsid w:val="0094213B"/>
    <w:rsid w:val="0094484B"/>
    <w:rsid w:val="00944CE7"/>
    <w:rsid w:val="00947D70"/>
    <w:rsid w:val="00947D85"/>
    <w:rsid w:val="0095324D"/>
    <w:rsid w:val="009533A2"/>
    <w:rsid w:val="00956241"/>
    <w:rsid w:val="0095717B"/>
    <w:rsid w:val="00957EC5"/>
    <w:rsid w:val="009619CB"/>
    <w:rsid w:val="00967612"/>
    <w:rsid w:val="00970864"/>
    <w:rsid w:val="00973225"/>
    <w:rsid w:val="00973901"/>
    <w:rsid w:val="009749D7"/>
    <w:rsid w:val="00976C2D"/>
    <w:rsid w:val="009771D2"/>
    <w:rsid w:val="00977837"/>
    <w:rsid w:val="00980359"/>
    <w:rsid w:val="00981E58"/>
    <w:rsid w:val="00982542"/>
    <w:rsid w:val="00984132"/>
    <w:rsid w:val="0098630E"/>
    <w:rsid w:val="009866F6"/>
    <w:rsid w:val="00990324"/>
    <w:rsid w:val="00992F8F"/>
    <w:rsid w:val="0099358C"/>
    <w:rsid w:val="00993F4D"/>
    <w:rsid w:val="00996EBC"/>
    <w:rsid w:val="00997027"/>
    <w:rsid w:val="009A2CEC"/>
    <w:rsid w:val="009B0C53"/>
    <w:rsid w:val="009B19D3"/>
    <w:rsid w:val="009B319D"/>
    <w:rsid w:val="009B4226"/>
    <w:rsid w:val="009B6A81"/>
    <w:rsid w:val="009B79D6"/>
    <w:rsid w:val="009B7BC6"/>
    <w:rsid w:val="009C2F45"/>
    <w:rsid w:val="009C3028"/>
    <w:rsid w:val="009C43E4"/>
    <w:rsid w:val="009C5B30"/>
    <w:rsid w:val="009C72D1"/>
    <w:rsid w:val="009C790F"/>
    <w:rsid w:val="009C7C6F"/>
    <w:rsid w:val="009D02DB"/>
    <w:rsid w:val="009D1A40"/>
    <w:rsid w:val="009D4B5D"/>
    <w:rsid w:val="009D6879"/>
    <w:rsid w:val="009D6B97"/>
    <w:rsid w:val="009E48DE"/>
    <w:rsid w:val="009E4B7D"/>
    <w:rsid w:val="009E4D92"/>
    <w:rsid w:val="009E57F9"/>
    <w:rsid w:val="009E69EA"/>
    <w:rsid w:val="009F15B8"/>
    <w:rsid w:val="009F2FAC"/>
    <w:rsid w:val="009F517E"/>
    <w:rsid w:val="009F558D"/>
    <w:rsid w:val="009F5F01"/>
    <w:rsid w:val="009F6856"/>
    <w:rsid w:val="009F7972"/>
    <w:rsid w:val="00A00B5A"/>
    <w:rsid w:val="00A0109D"/>
    <w:rsid w:val="00A013AB"/>
    <w:rsid w:val="00A03119"/>
    <w:rsid w:val="00A036E4"/>
    <w:rsid w:val="00A04E85"/>
    <w:rsid w:val="00A05AB3"/>
    <w:rsid w:val="00A06333"/>
    <w:rsid w:val="00A07017"/>
    <w:rsid w:val="00A1001B"/>
    <w:rsid w:val="00A1213E"/>
    <w:rsid w:val="00A13B5B"/>
    <w:rsid w:val="00A14B97"/>
    <w:rsid w:val="00A14C1B"/>
    <w:rsid w:val="00A15E29"/>
    <w:rsid w:val="00A16D01"/>
    <w:rsid w:val="00A203FB"/>
    <w:rsid w:val="00A23654"/>
    <w:rsid w:val="00A25594"/>
    <w:rsid w:val="00A3072B"/>
    <w:rsid w:val="00A314F9"/>
    <w:rsid w:val="00A31561"/>
    <w:rsid w:val="00A315E8"/>
    <w:rsid w:val="00A31DD1"/>
    <w:rsid w:val="00A326BC"/>
    <w:rsid w:val="00A35C66"/>
    <w:rsid w:val="00A3677A"/>
    <w:rsid w:val="00A40624"/>
    <w:rsid w:val="00A40711"/>
    <w:rsid w:val="00A42228"/>
    <w:rsid w:val="00A42ED3"/>
    <w:rsid w:val="00A44387"/>
    <w:rsid w:val="00A44395"/>
    <w:rsid w:val="00A475E2"/>
    <w:rsid w:val="00A5288F"/>
    <w:rsid w:val="00A545F5"/>
    <w:rsid w:val="00A55342"/>
    <w:rsid w:val="00A57231"/>
    <w:rsid w:val="00A57870"/>
    <w:rsid w:val="00A57B9A"/>
    <w:rsid w:val="00A60CDA"/>
    <w:rsid w:val="00A61A63"/>
    <w:rsid w:val="00A62071"/>
    <w:rsid w:val="00A62329"/>
    <w:rsid w:val="00A644CD"/>
    <w:rsid w:val="00A6486C"/>
    <w:rsid w:val="00A6655D"/>
    <w:rsid w:val="00A667C6"/>
    <w:rsid w:val="00A66DD2"/>
    <w:rsid w:val="00A7103D"/>
    <w:rsid w:val="00A71A9D"/>
    <w:rsid w:val="00A724AF"/>
    <w:rsid w:val="00A72987"/>
    <w:rsid w:val="00A73264"/>
    <w:rsid w:val="00A733E0"/>
    <w:rsid w:val="00A737D4"/>
    <w:rsid w:val="00A74D05"/>
    <w:rsid w:val="00A75B82"/>
    <w:rsid w:val="00A76437"/>
    <w:rsid w:val="00A81ECD"/>
    <w:rsid w:val="00A81F77"/>
    <w:rsid w:val="00A854DF"/>
    <w:rsid w:val="00A865FF"/>
    <w:rsid w:val="00A871EF"/>
    <w:rsid w:val="00A87351"/>
    <w:rsid w:val="00A87CBF"/>
    <w:rsid w:val="00A9004C"/>
    <w:rsid w:val="00A90224"/>
    <w:rsid w:val="00A905BE"/>
    <w:rsid w:val="00A9188E"/>
    <w:rsid w:val="00A9273B"/>
    <w:rsid w:val="00A94FE1"/>
    <w:rsid w:val="00A975E9"/>
    <w:rsid w:val="00AA3D82"/>
    <w:rsid w:val="00AA6860"/>
    <w:rsid w:val="00AB0792"/>
    <w:rsid w:val="00AB131F"/>
    <w:rsid w:val="00AB1FC0"/>
    <w:rsid w:val="00AB486D"/>
    <w:rsid w:val="00AB571E"/>
    <w:rsid w:val="00AB5A57"/>
    <w:rsid w:val="00AB5A96"/>
    <w:rsid w:val="00AB619C"/>
    <w:rsid w:val="00AC003A"/>
    <w:rsid w:val="00AC2B1B"/>
    <w:rsid w:val="00AC30DC"/>
    <w:rsid w:val="00AC6CBA"/>
    <w:rsid w:val="00AD0AD7"/>
    <w:rsid w:val="00AD181C"/>
    <w:rsid w:val="00AD20F8"/>
    <w:rsid w:val="00AD3342"/>
    <w:rsid w:val="00AD39DC"/>
    <w:rsid w:val="00AD4A5D"/>
    <w:rsid w:val="00AD51CA"/>
    <w:rsid w:val="00AD66A6"/>
    <w:rsid w:val="00AD75D1"/>
    <w:rsid w:val="00AE014F"/>
    <w:rsid w:val="00AE295D"/>
    <w:rsid w:val="00AE3EDC"/>
    <w:rsid w:val="00AE4829"/>
    <w:rsid w:val="00AE6A31"/>
    <w:rsid w:val="00AE6E6B"/>
    <w:rsid w:val="00AE6EAF"/>
    <w:rsid w:val="00AF07D1"/>
    <w:rsid w:val="00AF0886"/>
    <w:rsid w:val="00AF3A0D"/>
    <w:rsid w:val="00AF70B2"/>
    <w:rsid w:val="00AF7269"/>
    <w:rsid w:val="00AF7E4D"/>
    <w:rsid w:val="00B00001"/>
    <w:rsid w:val="00B000DC"/>
    <w:rsid w:val="00B02CFE"/>
    <w:rsid w:val="00B04D92"/>
    <w:rsid w:val="00B05305"/>
    <w:rsid w:val="00B10832"/>
    <w:rsid w:val="00B10B6C"/>
    <w:rsid w:val="00B11FFF"/>
    <w:rsid w:val="00B12885"/>
    <w:rsid w:val="00B12EF6"/>
    <w:rsid w:val="00B136B2"/>
    <w:rsid w:val="00B144AE"/>
    <w:rsid w:val="00B14BF9"/>
    <w:rsid w:val="00B16038"/>
    <w:rsid w:val="00B17B03"/>
    <w:rsid w:val="00B22B69"/>
    <w:rsid w:val="00B2725F"/>
    <w:rsid w:val="00B329CE"/>
    <w:rsid w:val="00B34159"/>
    <w:rsid w:val="00B3688E"/>
    <w:rsid w:val="00B36FA0"/>
    <w:rsid w:val="00B37CC8"/>
    <w:rsid w:val="00B40BF9"/>
    <w:rsid w:val="00B4130C"/>
    <w:rsid w:val="00B43F8C"/>
    <w:rsid w:val="00B4401F"/>
    <w:rsid w:val="00B441E7"/>
    <w:rsid w:val="00B444A5"/>
    <w:rsid w:val="00B4666B"/>
    <w:rsid w:val="00B46D5A"/>
    <w:rsid w:val="00B46E38"/>
    <w:rsid w:val="00B5015F"/>
    <w:rsid w:val="00B51B49"/>
    <w:rsid w:val="00B51E72"/>
    <w:rsid w:val="00B56266"/>
    <w:rsid w:val="00B5727C"/>
    <w:rsid w:val="00B572AE"/>
    <w:rsid w:val="00B5770C"/>
    <w:rsid w:val="00B60BC2"/>
    <w:rsid w:val="00B615AA"/>
    <w:rsid w:val="00B62FD5"/>
    <w:rsid w:val="00B63007"/>
    <w:rsid w:val="00B631EB"/>
    <w:rsid w:val="00B633B9"/>
    <w:rsid w:val="00B65F19"/>
    <w:rsid w:val="00B66A03"/>
    <w:rsid w:val="00B71F83"/>
    <w:rsid w:val="00B772DB"/>
    <w:rsid w:val="00B800C5"/>
    <w:rsid w:val="00B81B82"/>
    <w:rsid w:val="00B8277E"/>
    <w:rsid w:val="00B85AB5"/>
    <w:rsid w:val="00B871A9"/>
    <w:rsid w:val="00B91201"/>
    <w:rsid w:val="00B91E1E"/>
    <w:rsid w:val="00B9206C"/>
    <w:rsid w:val="00B94687"/>
    <w:rsid w:val="00B94F2A"/>
    <w:rsid w:val="00B950D0"/>
    <w:rsid w:val="00B9565E"/>
    <w:rsid w:val="00B9593C"/>
    <w:rsid w:val="00B9692C"/>
    <w:rsid w:val="00B96930"/>
    <w:rsid w:val="00B96E2C"/>
    <w:rsid w:val="00B975CB"/>
    <w:rsid w:val="00B97A9A"/>
    <w:rsid w:val="00BA0C28"/>
    <w:rsid w:val="00BA53FA"/>
    <w:rsid w:val="00BA7195"/>
    <w:rsid w:val="00BB42DC"/>
    <w:rsid w:val="00BB6FF5"/>
    <w:rsid w:val="00BB7A9F"/>
    <w:rsid w:val="00BC08E2"/>
    <w:rsid w:val="00BC09DC"/>
    <w:rsid w:val="00BC1994"/>
    <w:rsid w:val="00BC25B4"/>
    <w:rsid w:val="00BC561D"/>
    <w:rsid w:val="00BC6342"/>
    <w:rsid w:val="00BC6CCF"/>
    <w:rsid w:val="00BC7BD5"/>
    <w:rsid w:val="00BD0EA2"/>
    <w:rsid w:val="00BD0FD4"/>
    <w:rsid w:val="00BD1C81"/>
    <w:rsid w:val="00BD593D"/>
    <w:rsid w:val="00BD6667"/>
    <w:rsid w:val="00BE098C"/>
    <w:rsid w:val="00BE1CA5"/>
    <w:rsid w:val="00BE2AD4"/>
    <w:rsid w:val="00BE5A6D"/>
    <w:rsid w:val="00BE647E"/>
    <w:rsid w:val="00BE6923"/>
    <w:rsid w:val="00BE76CF"/>
    <w:rsid w:val="00BE7FAE"/>
    <w:rsid w:val="00BF059D"/>
    <w:rsid w:val="00BF0AF4"/>
    <w:rsid w:val="00BF3BCE"/>
    <w:rsid w:val="00BF7685"/>
    <w:rsid w:val="00BF7B4F"/>
    <w:rsid w:val="00BF7C03"/>
    <w:rsid w:val="00C00978"/>
    <w:rsid w:val="00C0156D"/>
    <w:rsid w:val="00C06D9A"/>
    <w:rsid w:val="00C07B72"/>
    <w:rsid w:val="00C10E36"/>
    <w:rsid w:val="00C10F39"/>
    <w:rsid w:val="00C140BD"/>
    <w:rsid w:val="00C143AF"/>
    <w:rsid w:val="00C15799"/>
    <w:rsid w:val="00C16770"/>
    <w:rsid w:val="00C17B7D"/>
    <w:rsid w:val="00C2451D"/>
    <w:rsid w:val="00C2633D"/>
    <w:rsid w:val="00C26D97"/>
    <w:rsid w:val="00C27F92"/>
    <w:rsid w:val="00C3169A"/>
    <w:rsid w:val="00C31A69"/>
    <w:rsid w:val="00C31D6C"/>
    <w:rsid w:val="00C31E88"/>
    <w:rsid w:val="00C32A48"/>
    <w:rsid w:val="00C3370C"/>
    <w:rsid w:val="00C42B7C"/>
    <w:rsid w:val="00C4500F"/>
    <w:rsid w:val="00C47A99"/>
    <w:rsid w:val="00C50A90"/>
    <w:rsid w:val="00C50AE1"/>
    <w:rsid w:val="00C50C60"/>
    <w:rsid w:val="00C5299F"/>
    <w:rsid w:val="00C538D2"/>
    <w:rsid w:val="00C55381"/>
    <w:rsid w:val="00C55863"/>
    <w:rsid w:val="00C5765C"/>
    <w:rsid w:val="00C57F36"/>
    <w:rsid w:val="00C60A6B"/>
    <w:rsid w:val="00C61809"/>
    <w:rsid w:val="00C62F42"/>
    <w:rsid w:val="00C63B0C"/>
    <w:rsid w:val="00C64AD6"/>
    <w:rsid w:val="00C6730D"/>
    <w:rsid w:val="00C6740F"/>
    <w:rsid w:val="00C705DA"/>
    <w:rsid w:val="00C70C27"/>
    <w:rsid w:val="00C735E1"/>
    <w:rsid w:val="00C7472F"/>
    <w:rsid w:val="00C75701"/>
    <w:rsid w:val="00C7605D"/>
    <w:rsid w:val="00C77E1C"/>
    <w:rsid w:val="00C80C5D"/>
    <w:rsid w:val="00C81582"/>
    <w:rsid w:val="00C83499"/>
    <w:rsid w:val="00C83941"/>
    <w:rsid w:val="00C84264"/>
    <w:rsid w:val="00C84F61"/>
    <w:rsid w:val="00C86F57"/>
    <w:rsid w:val="00C8703E"/>
    <w:rsid w:val="00C9006F"/>
    <w:rsid w:val="00C90658"/>
    <w:rsid w:val="00C922C1"/>
    <w:rsid w:val="00C9281B"/>
    <w:rsid w:val="00C938CB"/>
    <w:rsid w:val="00C9667B"/>
    <w:rsid w:val="00C97314"/>
    <w:rsid w:val="00CA3990"/>
    <w:rsid w:val="00CA3B4F"/>
    <w:rsid w:val="00CA4C2D"/>
    <w:rsid w:val="00CA5416"/>
    <w:rsid w:val="00CA6742"/>
    <w:rsid w:val="00CA70D7"/>
    <w:rsid w:val="00CA72A3"/>
    <w:rsid w:val="00CB0710"/>
    <w:rsid w:val="00CB0836"/>
    <w:rsid w:val="00CB0918"/>
    <w:rsid w:val="00CB0EF6"/>
    <w:rsid w:val="00CB169D"/>
    <w:rsid w:val="00CB1EFD"/>
    <w:rsid w:val="00CB260E"/>
    <w:rsid w:val="00CB322B"/>
    <w:rsid w:val="00CB5139"/>
    <w:rsid w:val="00CB5AA3"/>
    <w:rsid w:val="00CB65F4"/>
    <w:rsid w:val="00CB719C"/>
    <w:rsid w:val="00CB7BF2"/>
    <w:rsid w:val="00CC0E08"/>
    <w:rsid w:val="00CC0F79"/>
    <w:rsid w:val="00CC3D22"/>
    <w:rsid w:val="00CC42AD"/>
    <w:rsid w:val="00CC5059"/>
    <w:rsid w:val="00CD02C2"/>
    <w:rsid w:val="00CD0819"/>
    <w:rsid w:val="00CD227D"/>
    <w:rsid w:val="00CD2D0E"/>
    <w:rsid w:val="00CD5250"/>
    <w:rsid w:val="00CD54E2"/>
    <w:rsid w:val="00CD579C"/>
    <w:rsid w:val="00CE025F"/>
    <w:rsid w:val="00CE0BD9"/>
    <w:rsid w:val="00CE4066"/>
    <w:rsid w:val="00CE4B54"/>
    <w:rsid w:val="00CE6DB9"/>
    <w:rsid w:val="00CE71CD"/>
    <w:rsid w:val="00CE75E7"/>
    <w:rsid w:val="00CF34A8"/>
    <w:rsid w:val="00CF54A2"/>
    <w:rsid w:val="00CF55B3"/>
    <w:rsid w:val="00CF7C33"/>
    <w:rsid w:val="00D006B4"/>
    <w:rsid w:val="00D008ED"/>
    <w:rsid w:val="00D04EEE"/>
    <w:rsid w:val="00D04FCA"/>
    <w:rsid w:val="00D05F0B"/>
    <w:rsid w:val="00D07E15"/>
    <w:rsid w:val="00D11A0C"/>
    <w:rsid w:val="00D11E01"/>
    <w:rsid w:val="00D13AA1"/>
    <w:rsid w:val="00D1418B"/>
    <w:rsid w:val="00D16425"/>
    <w:rsid w:val="00D17F86"/>
    <w:rsid w:val="00D20800"/>
    <w:rsid w:val="00D214CC"/>
    <w:rsid w:val="00D21EF4"/>
    <w:rsid w:val="00D24BD5"/>
    <w:rsid w:val="00D2606F"/>
    <w:rsid w:val="00D30FB3"/>
    <w:rsid w:val="00D32BC4"/>
    <w:rsid w:val="00D330A8"/>
    <w:rsid w:val="00D341F5"/>
    <w:rsid w:val="00D34659"/>
    <w:rsid w:val="00D35754"/>
    <w:rsid w:val="00D3726A"/>
    <w:rsid w:val="00D379FA"/>
    <w:rsid w:val="00D41266"/>
    <w:rsid w:val="00D425D5"/>
    <w:rsid w:val="00D43294"/>
    <w:rsid w:val="00D435B8"/>
    <w:rsid w:val="00D4520D"/>
    <w:rsid w:val="00D45E04"/>
    <w:rsid w:val="00D4767F"/>
    <w:rsid w:val="00D504E2"/>
    <w:rsid w:val="00D51A6A"/>
    <w:rsid w:val="00D52156"/>
    <w:rsid w:val="00D53CDE"/>
    <w:rsid w:val="00D54044"/>
    <w:rsid w:val="00D5486F"/>
    <w:rsid w:val="00D55EEB"/>
    <w:rsid w:val="00D57343"/>
    <w:rsid w:val="00D57667"/>
    <w:rsid w:val="00D57AE6"/>
    <w:rsid w:val="00D6002A"/>
    <w:rsid w:val="00D60D36"/>
    <w:rsid w:val="00D619F4"/>
    <w:rsid w:val="00D6224B"/>
    <w:rsid w:val="00D622F8"/>
    <w:rsid w:val="00D627CA"/>
    <w:rsid w:val="00D64FCE"/>
    <w:rsid w:val="00D65CFF"/>
    <w:rsid w:val="00D70216"/>
    <w:rsid w:val="00D74224"/>
    <w:rsid w:val="00D7626B"/>
    <w:rsid w:val="00D76881"/>
    <w:rsid w:val="00D813CB"/>
    <w:rsid w:val="00D81403"/>
    <w:rsid w:val="00D82466"/>
    <w:rsid w:val="00D82EFA"/>
    <w:rsid w:val="00D843D6"/>
    <w:rsid w:val="00D86022"/>
    <w:rsid w:val="00D867D1"/>
    <w:rsid w:val="00D924D4"/>
    <w:rsid w:val="00D9576E"/>
    <w:rsid w:val="00DA0360"/>
    <w:rsid w:val="00DA6AD1"/>
    <w:rsid w:val="00DB2B1E"/>
    <w:rsid w:val="00DB51BA"/>
    <w:rsid w:val="00DC076C"/>
    <w:rsid w:val="00DC2410"/>
    <w:rsid w:val="00DC2660"/>
    <w:rsid w:val="00DC3476"/>
    <w:rsid w:val="00DC49EE"/>
    <w:rsid w:val="00DC4D58"/>
    <w:rsid w:val="00DC6E57"/>
    <w:rsid w:val="00DD0A61"/>
    <w:rsid w:val="00DD1931"/>
    <w:rsid w:val="00DD1CCA"/>
    <w:rsid w:val="00DD1E60"/>
    <w:rsid w:val="00DD372B"/>
    <w:rsid w:val="00DD39E9"/>
    <w:rsid w:val="00DD46C8"/>
    <w:rsid w:val="00DD4DD1"/>
    <w:rsid w:val="00DD4ECE"/>
    <w:rsid w:val="00DD52DA"/>
    <w:rsid w:val="00DD5CB7"/>
    <w:rsid w:val="00DE078C"/>
    <w:rsid w:val="00DE1890"/>
    <w:rsid w:val="00DE1979"/>
    <w:rsid w:val="00DE2802"/>
    <w:rsid w:val="00DE28C7"/>
    <w:rsid w:val="00DE2F8E"/>
    <w:rsid w:val="00DE2FCB"/>
    <w:rsid w:val="00DE48A3"/>
    <w:rsid w:val="00DE49E4"/>
    <w:rsid w:val="00DE6B29"/>
    <w:rsid w:val="00DE745B"/>
    <w:rsid w:val="00DF2129"/>
    <w:rsid w:val="00DF509C"/>
    <w:rsid w:val="00DF5434"/>
    <w:rsid w:val="00DF6F44"/>
    <w:rsid w:val="00E0175B"/>
    <w:rsid w:val="00E02462"/>
    <w:rsid w:val="00E02AFB"/>
    <w:rsid w:val="00E046F3"/>
    <w:rsid w:val="00E16584"/>
    <w:rsid w:val="00E200D1"/>
    <w:rsid w:val="00E2527B"/>
    <w:rsid w:val="00E270EA"/>
    <w:rsid w:val="00E30C4B"/>
    <w:rsid w:val="00E365F2"/>
    <w:rsid w:val="00E37D4C"/>
    <w:rsid w:val="00E40043"/>
    <w:rsid w:val="00E417C2"/>
    <w:rsid w:val="00E4278B"/>
    <w:rsid w:val="00E432C2"/>
    <w:rsid w:val="00E437E4"/>
    <w:rsid w:val="00E44252"/>
    <w:rsid w:val="00E45A2D"/>
    <w:rsid w:val="00E45B9F"/>
    <w:rsid w:val="00E51AEA"/>
    <w:rsid w:val="00E546EB"/>
    <w:rsid w:val="00E548CC"/>
    <w:rsid w:val="00E54D6E"/>
    <w:rsid w:val="00E55324"/>
    <w:rsid w:val="00E56136"/>
    <w:rsid w:val="00E5741F"/>
    <w:rsid w:val="00E574EC"/>
    <w:rsid w:val="00E619D0"/>
    <w:rsid w:val="00E638DE"/>
    <w:rsid w:val="00E65AF0"/>
    <w:rsid w:val="00E67EE8"/>
    <w:rsid w:val="00E70537"/>
    <w:rsid w:val="00E71E65"/>
    <w:rsid w:val="00E72178"/>
    <w:rsid w:val="00E725E0"/>
    <w:rsid w:val="00E72A7F"/>
    <w:rsid w:val="00E72B18"/>
    <w:rsid w:val="00E72D63"/>
    <w:rsid w:val="00E7320A"/>
    <w:rsid w:val="00E74D75"/>
    <w:rsid w:val="00E752FA"/>
    <w:rsid w:val="00E76750"/>
    <w:rsid w:val="00E80430"/>
    <w:rsid w:val="00E80BE5"/>
    <w:rsid w:val="00E80FA1"/>
    <w:rsid w:val="00E816A8"/>
    <w:rsid w:val="00E81AA6"/>
    <w:rsid w:val="00E843FA"/>
    <w:rsid w:val="00E849A6"/>
    <w:rsid w:val="00E84FD4"/>
    <w:rsid w:val="00E87598"/>
    <w:rsid w:val="00E87E91"/>
    <w:rsid w:val="00E905DE"/>
    <w:rsid w:val="00E9180E"/>
    <w:rsid w:val="00E9305A"/>
    <w:rsid w:val="00E96559"/>
    <w:rsid w:val="00E96964"/>
    <w:rsid w:val="00E97218"/>
    <w:rsid w:val="00E9742E"/>
    <w:rsid w:val="00E975F8"/>
    <w:rsid w:val="00EA125F"/>
    <w:rsid w:val="00EA2BF8"/>
    <w:rsid w:val="00EA446C"/>
    <w:rsid w:val="00EA4859"/>
    <w:rsid w:val="00EA4C04"/>
    <w:rsid w:val="00EA507D"/>
    <w:rsid w:val="00EA52B0"/>
    <w:rsid w:val="00EA5FD1"/>
    <w:rsid w:val="00EA6FF0"/>
    <w:rsid w:val="00EA7CCD"/>
    <w:rsid w:val="00EB0E9D"/>
    <w:rsid w:val="00EB1232"/>
    <w:rsid w:val="00EB126E"/>
    <w:rsid w:val="00EB27B7"/>
    <w:rsid w:val="00EB3250"/>
    <w:rsid w:val="00EB37E0"/>
    <w:rsid w:val="00EB3BCC"/>
    <w:rsid w:val="00EB4599"/>
    <w:rsid w:val="00EB5F5D"/>
    <w:rsid w:val="00EB66A7"/>
    <w:rsid w:val="00EB78D7"/>
    <w:rsid w:val="00EC1235"/>
    <w:rsid w:val="00EC2564"/>
    <w:rsid w:val="00EC3C5D"/>
    <w:rsid w:val="00EC4017"/>
    <w:rsid w:val="00EC4DBC"/>
    <w:rsid w:val="00EC53C6"/>
    <w:rsid w:val="00EC7068"/>
    <w:rsid w:val="00ED1359"/>
    <w:rsid w:val="00ED1C89"/>
    <w:rsid w:val="00ED1F38"/>
    <w:rsid w:val="00ED229B"/>
    <w:rsid w:val="00ED52BA"/>
    <w:rsid w:val="00ED5C8B"/>
    <w:rsid w:val="00ED68A0"/>
    <w:rsid w:val="00ED70D8"/>
    <w:rsid w:val="00EE3ECC"/>
    <w:rsid w:val="00EE50F9"/>
    <w:rsid w:val="00EE75F3"/>
    <w:rsid w:val="00EE7846"/>
    <w:rsid w:val="00EF028A"/>
    <w:rsid w:val="00EF0A61"/>
    <w:rsid w:val="00EF1E04"/>
    <w:rsid w:val="00EF386E"/>
    <w:rsid w:val="00EF4400"/>
    <w:rsid w:val="00EF4AE7"/>
    <w:rsid w:val="00EF526F"/>
    <w:rsid w:val="00EF573C"/>
    <w:rsid w:val="00EF7B4B"/>
    <w:rsid w:val="00EF7E94"/>
    <w:rsid w:val="00F030BE"/>
    <w:rsid w:val="00F03C96"/>
    <w:rsid w:val="00F04DDC"/>
    <w:rsid w:val="00F054CE"/>
    <w:rsid w:val="00F06394"/>
    <w:rsid w:val="00F0667D"/>
    <w:rsid w:val="00F117C7"/>
    <w:rsid w:val="00F129C4"/>
    <w:rsid w:val="00F154AD"/>
    <w:rsid w:val="00F20DF6"/>
    <w:rsid w:val="00F21407"/>
    <w:rsid w:val="00F217E9"/>
    <w:rsid w:val="00F2208A"/>
    <w:rsid w:val="00F2271C"/>
    <w:rsid w:val="00F23624"/>
    <w:rsid w:val="00F261A7"/>
    <w:rsid w:val="00F3013C"/>
    <w:rsid w:val="00F32070"/>
    <w:rsid w:val="00F330BC"/>
    <w:rsid w:val="00F3343D"/>
    <w:rsid w:val="00F33718"/>
    <w:rsid w:val="00F33D42"/>
    <w:rsid w:val="00F33F96"/>
    <w:rsid w:val="00F34A73"/>
    <w:rsid w:val="00F3504B"/>
    <w:rsid w:val="00F3517C"/>
    <w:rsid w:val="00F35838"/>
    <w:rsid w:val="00F36459"/>
    <w:rsid w:val="00F374AB"/>
    <w:rsid w:val="00F418F8"/>
    <w:rsid w:val="00F43EBE"/>
    <w:rsid w:val="00F43FBD"/>
    <w:rsid w:val="00F44548"/>
    <w:rsid w:val="00F446C1"/>
    <w:rsid w:val="00F4487D"/>
    <w:rsid w:val="00F44F82"/>
    <w:rsid w:val="00F45210"/>
    <w:rsid w:val="00F45638"/>
    <w:rsid w:val="00F457E4"/>
    <w:rsid w:val="00F4640D"/>
    <w:rsid w:val="00F50691"/>
    <w:rsid w:val="00F51B75"/>
    <w:rsid w:val="00F5268E"/>
    <w:rsid w:val="00F52976"/>
    <w:rsid w:val="00F55141"/>
    <w:rsid w:val="00F55277"/>
    <w:rsid w:val="00F566B1"/>
    <w:rsid w:val="00F579EB"/>
    <w:rsid w:val="00F57E7E"/>
    <w:rsid w:val="00F6071C"/>
    <w:rsid w:val="00F61EAB"/>
    <w:rsid w:val="00F629FE"/>
    <w:rsid w:val="00F63991"/>
    <w:rsid w:val="00F65FBE"/>
    <w:rsid w:val="00F661B5"/>
    <w:rsid w:val="00F669B5"/>
    <w:rsid w:val="00F67861"/>
    <w:rsid w:val="00F705E8"/>
    <w:rsid w:val="00F708F0"/>
    <w:rsid w:val="00F70F48"/>
    <w:rsid w:val="00F71161"/>
    <w:rsid w:val="00F7236A"/>
    <w:rsid w:val="00F72E62"/>
    <w:rsid w:val="00F73BBE"/>
    <w:rsid w:val="00F73D35"/>
    <w:rsid w:val="00F769EC"/>
    <w:rsid w:val="00F77A45"/>
    <w:rsid w:val="00F80AD8"/>
    <w:rsid w:val="00F8272E"/>
    <w:rsid w:val="00F85DD9"/>
    <w:rsid w:val="00F86F43"/>
    <w:rsid w:val="00F877B5"/>
    <w:rsid w:val="00F879A3"/>
    <w:rsid w:val="00F90A85"/>
    <w:rsid w:val="00F91FDE"/>
    <w:rsid w:val="00F93C61"/>
    <w:rsid w:val="00FA06BC"/>
    <w:rsid w:val="00FA0CE3"/>
    <w:rsid w:val="00FA39F5"/>
    <w:rsid w:val="00FA4BFF"/>
    <w:rsid w:val="00FA5559"/>
    <w:rsid w:val="00FA621C"/>
    <w:rsid w:val="00FA699B"/>
    <w:rsid w:val="00FA71FC"/>
    <w:rsid w:val="00FA74BC"/>
    <w:rsid w:val="00FB3FDC"/>
    <w:rsid w:val="00FB4253"/>
    <w:rsid w:val="00FB523D"/>
    <w:rsid w:val="00FB7637"/>
    <w:rsid w:val="00FC1879"/>
    <w:rsid w:val="00FC2205"/>
    <w:rsid w:val="00FC250A"/>
    <w:rsid w:val="00FC33B3"/>
    <w:rsid w:val="00FC3738"/>
    <w:rsid w:val="00FC4551"/>
    <w:rsid w:val="00FC45F9"/>
    <w:rsid w:val="00FC4850"/>
    <w:rsid w:val="00FC4C87"/>
    <w:rsid w:val="00FC5928"/>
    <w:rsid w:val="00FC6601"/>
    <w:rsid w:val="00FC7008"/>
    <w:rsid w:val="00FC7923"/>
    <w:rsid w:val="00FC7D1C"/>
    <w:rsid w:val="00FD055D"/>
    <w:rsid w:val="00FD2904"/>
    <w:rsid w:val="00FD2C82"/>
    <w:rsid w:val="00FD396A"/>
    <w:rsid w:val="00FD52C4"/>
    <w:rsid w:val="00FD61E8"/>
    <w:rsid w:val="00FD6236"/>
    <w:rsid w:val="00FD648E"/>
    <w:rsid w:val="00FD6EFE"/>
    <w:rsid w:val="00FE4A30"/>
    <w:rsid w:val="00FE63BD"/>
    <w:rsid w:val="00FE6F4D"/>
    <w:rsid w:val="00FE7954"/>
    <w:rsid w:val="00FF0585"/>
    <w:rsid w:val="00FF3A99"/>
    <w:rsid w:val="00FF3FC5"/>
    <w:rsid w:val="00FF441E"/>
    <w:rsid w:val="00FF556E"/>
    <w:rsid w:val="00FF60A6"/>
    <w:rsid w:val="00FF7067"/>
    <w:rsid w:val="00FF7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1F33"/>
  <w15:chartTrackingRefBased/>
  <w15:docId w15:val="{182EF2FF-09EE-4B7C-8CAE-7080C81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2">
    <w:name w:val="heading 2"/>
    <w:basedOn w:val="Normal"/>
    <w:next w:val="Normal"/>
    <w:link w:val="Titre2Car"/>
    <w:qFormat/>
    <w:rsid w:val="00836327"/>
    <w:pPr>
      <w:keepNext/>
      <w:spacing w:line="360" w:lineRule="auto"/>
      <w:jc w:val="center"/>
      <w:outlineLvl w:val="1"/>
    </w:pPr>
    <w:rPr>
      <w:rFonts w:ascii="Times New Roman" w:eastAsia="Times New Roman" w:hAnsi="Times New Roman" w:cs="Times New Roman"/>
      <w:b/>
      <w:sz w:val="28"/>
      <w:szCs w:val="20"/>
      <w:u w:val="single"/>
      <w:lang w:eastAsia="fr-FR" w:bidi="he-IL"/>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2F4692"/>
    <w:pPr>
      <w:tabs>
        <w:tab w:val="right" w:leader="dot" w:pos="9062"/>
      </w:tabs>
      <w:spacing w:line="600" w:lineRule="auto"/>
      <w:jc w:val="both"/>
    </w:pPr>
    <w:rPr>
      <w:sz w:val="10"/>
      <w:szCs w:val="10"/>
      <w:lang w:val="nl-NL"/>
    </w:rPr>
  </w:style>
  <w:style w:type="table" w:customStyle="1" w:styleId="Grilledutableau1">
    <w:name w:val="Grille du tableau1"/>
    <w:basedOn w:val="TableauNormal"/>
    <w:next w:val="Grilledutableau"/>
    <w:uiPriority w:val="39"/>
    <w:rsid w:val="00FA4B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5DD9"/>
    <w:pPr>
      <w:spacing w:after="0" w:line="240" w:lineRule="auto"/>
    </w:pPr>
    <w:rPr>
      <w:rFonts w:eastAsiaTheme="minorEastAsia" w:cs="Times New Roman"/>
      <w:lang w:val="nl-NL"/>
    </w:rPr>
    <w:tblPr>
      <w:tblCellMar>
        <w:top w:w="0" w:type="dxa"/>
        <w:left w:w="0" w:type="dxa"/>
        <w:bottom w:w="0" w:type="dxa"/>
        <w:right w:w="0" w:type="dxa"/>
      </w:tblCellMar>
    </w:tblPr>
  </w:style>
  <w:style w:type="table" w:customStyle="1" w:styleId="TableGrid1">
    <w:name w:val="TableGrid1"/>
    <w:rsid w:val="009153FF"/>
    <w:pPr>
      <w:spacing w:after="0" w:line="240" w:lineRule="auto"/>
    </w:pPr>
    <w:rPr>
      <w:rFonts w:eastAsiaTheme="minorEastAsia" w:cs="Times New Roman"/>
      <w:lang w:val="nl-NL"/>
    </w:rPr>
    <w:tblPr>
      <w:tblCellMar>
        <w:top w:w="0" w:type="dxa"/>
        <w:left w:w="0" w:type="dxa"/>
        <w:bottom w:w="0" w:type="dxa"/>
        <w:right w:w="0" w:type="dxa"/>
      </w:tblCellMar>
    </w:tblPr>
  </w:style>
  <w:style w:type="table" w:styleId="TableauGrille1Clair-Accentuation5">
    <w:name w:val="Grid Table 1 Light Accent 5"/>
    <w:basedOn w:val="TableauNormal"/>
    <w:uiPriority w:val="46"/>
    <w:rsid w:val="000F52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lledutableau2">
    <w:name w:val="Grille du tableau2"/>
    <w:basedOn w:val="TableauNormal"/>
    <w:next w:val="Grilledutableau"/>
    <w:uiPriority w:val="39"/>
    <w:rsid w:val="00EC1235"/>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A4C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836327"/>
    <w:rPr>
      <w:rFonts w:ascii="Times New Roman" w:eastAsia="Times New Roman" w:hAnsi="Times New Roman" w:cs="Times New Roman"/>
      <w:b/>
      <w:sz w:val="28"/>
      <w:szCs w:val="20"/>
      <w:u w:val="single"/>
      <w:lang w:eastAsia="fr-FR" w:bidi="he-IL"/>
    </w:rPr>
  </w:style>
  <w:style w:type="paragraph" w:styleId="Sous-titre">
    <w:name w:val="Subtitle"/>
    <w:basedOn w:val="Normal"/>
    <w:link w:val="Sous-titreCar"/>
    <w:qFormat/>
    <w:rsid w:val="00836327"/>
    <w:pPr>
      <w:jc w:val="right"/>
    </w:pPr>
    <w:rPr>
      <w:rFonts w:ascii="Times New Roman" w:eastAsia="Times New Roman" w:hAnsi="Times New Roman" w:cs="Times New Roman"/>
      <w:sz w:val="28"/>
      <w:szCs w:val="20"/>
      <w:lang w:eastAsia="fr-FR" w:bidi="he-IL"/>
    </w:rPr>
  </w:style>
  <w:style w:type="character" w:customStyle="1" w:styleId="Sous-titreCar">
    <w:name w:val="Sous-titre Car"/>
    <w:basedOn w:val="Policepardfaut"/>
    <w:link w:val="Sous-titre"/>
    <w:rsid w:val="00836327"/>
    <w:rPr>
      <w:rFonts w:ascii="Times New Roman" w:eastAsia="Times New Roman" w:hAnsi="Times New Roman" w:cs="Times New Roman"/>
      <w:sz w:val="28"/>
      <w:szCs w:val="20"/>
      <w:lang w:eastAsia="fr-FR" w:bidi="he-IL"/>
    </w:rPr>
  </w:style>
  <w:style w:type="paragraph" w:styleId="Retraitcorpsdetexte">
    <w:name w:val="Body Text Indent"/>
    <w:basedOn w:val="Normal"/>
    <w:link w:val="RetraitcorpsdetexteCar"/>
    <w:rsid w:val="00836327"/>
    <w:pPr>
      <w:ind w:hanging="900"/>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836327"/>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CB65F4"/>
    <w:rPr>
      <w:color w:val="954F72"/>
      <w:u w:val="single"/>
    </w:rPr>
  </w:style>
  <w:style w:type="paragraph" w:customStyle="1" w:styleId="msonormal0">
    <w:name w:val="msonormal"/>
    <w:basedOn w:val="Normal"/>
    <w:rsid w:val="00CB65F4"/>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67">
    <w:name w:val="xl67"/>
    <w:basedOn w:val="Normal"/>
    <w:rsid w:val="00CB65F4"/>
    <w:pPr>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68">
    <w:name w:val="xl68"/>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69">
    <w:name w:val="xl69"/>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70">
    <w:name w:val="xl70"/>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71">
    <w:name w:val="xl71"/>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72">
    <w:name w:val="xl72"/>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73">
    <w:name w:val="xl73"/>
    <w:basedOn w:val="Normal"/>
    <w:rsid w:val="00CB65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74">
    <w:name w:val="xl74"/>
    <w:basedOn w:val="Normal"/>
    <w:rsid w:val="00CB65F4"/>
    <w:pPr>
      <w:spacing w:before="100" w:beforeAutospacing="1" w:after="100" w:afterAutospacing="1"/>
      <w:textAlignment w:val="center"/>
    </w:pPr>
    <w:rPr>
      <w:rFonts w:ascii="Calibri Light" w:eastAsia="Times New Roman" w:hAnsi="Calibri Light" w:cs="Calibri Light"/>
      <w:b/>
      <w:bCs/>
      <w:i/>
      <w:iCs/>
      <w:sz w:val="20"/>
      <w:szCs w:val="20"/>
      <w:u w:val="single"/>
    </w:rPr>
  </w:style>
  <w:style w:type="paragraph" w:customStyle="1" w:styleId="xl75">
    <w:name w:val="xl75"/>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76">
    <w:name w:val="xl76"/>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77">
    <w:name w:val="xl77"/>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78">
    <w:name w:val="xl78"/>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79">
    <w:name w:val="xl79"/>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0">
    <w:name w:val="xl80"/>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81">
    <w:name w:val="xl81"/>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82">
    <w:name w:val="xl82"/>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3">
    <w:name w:val="xl83"/>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sz w:val="20"/>
      <w:szCs w:val="20"/>
    </w:rPr>
  </w:style>
  <w:style w:type="paragraph" w:customStyle="1" w:styleId="xl84">
    <w:name w:val="xl84"/>
    <w:basedOn w:val="Normal"/>
    <w:rsid w:val="00CB65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85">
    <w:name w:val="xl85"/>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86">
    <w:name w:val="xl86"/>
    <w:basedOn w:val="Normal"/>
    <w:rsid w:val="00CB65F4"/>
    <w:pP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87">
    <w:name w:val="xl87"/>
    <w:basedOn w:val="Normal"/>
    <w:rsid w:val="00CB65F4"/>
    <w:pPr>
      <w:pBdr>
        <w:top w:val="single" w:sz="4"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88">
    <w:name w:val="xl88"/>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89">
    <w:name w:val="xl89"/>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90">
    <w:name w:val="xl90"/>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1">
    <w:name w:val="xl91"/>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92">
    <w:name w:val="xl92"/>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3">
    <w:name w:val="xl93"/>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4">
    <w:name w:val="xl94"/>
    <w:basedOn w:val="Normal"/>
    <w:rsid w:val="00CB65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5">
    <w:name w:val="xl95"/>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6">
    <w:name w:val="xl96"/>
    <w:basedOn w:val="Normal"/>
    <w:rsid w:val="00CB65F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7">
    <w:name w:val="xl97"/>
    <w:basedOn w:val="Normal"/>
    <w:rsid w:val="00CB65F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98">
    <w:name w:val="xl98"/>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99">
    <w:name w:val="xl99"/>
    <w:basedOn w:val="Normal"/>
    <w:rsid w:val="00CB65F4"/>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0">
    <w:name w:val="xl100"/>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1">
    <w:name w:val="xl101"/>
    <w:basedOn w:val="Normal"/>
    <w:rsid w:val="00CB65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2">
    <w:name w:val="xl102"/>
    <w:basedOn w:val="Normal"/>
    <w:rsid w:val="00CB65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3">
    <w:name w:val="xl103"/>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4">
    <w:name w:val="xl104"/>
    <w:basedOn w:val="Normal"/>
    <w:rsid w:val="00CB65F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5">
    <w:name w:val="xl105"/>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6">
    <w:name w:val="xl106"/>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7">
    <w:name w:val="xl107"/>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08">
    <w:name w:val="xl108"/>
    <w:basedOn w:val="Normal"/>
    <w:rsid w:val="00CB65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Calibri Light" w:eastAsia="Times New Roman" w:hAnsi="Calibri Light" w:cs="Calibri Light"/>
      <w:sz w:val="20"/>
      <w:szCs w:val="20"/>
    </w:rPr>
  </w:style>
  <w:style w:type="paragraph" w:customStyle="1" w:styleId="xl109">
    <w:name w:val="xl109"/>
    <w:basedOn w:val="Normal"/>
    <w:rsid w:val="00CB65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0">
    <w:name w:val="xl110"/>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1">
    <w:name w:val="xl111"/>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2">
    <w:name w:val="xl112"/>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3">
    <w:name w:val="xl113"/>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4">
    <w:name w:val="xl114"/>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15">
    <w:name w:val="xl115"/>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16">
    <w:name w:val="xl116"/>
    <w:basedOn w:val="Normal"/>
    <w:rsid w:val="00CB65F4"/>
    <w:pPr>
      <w:pBdr>
        <w:top w:val="single" w:sz="4" w:space="0" w:color="auto"/>
        <w:left w:val="single" w:sz="8" w:space="0" w:color="auto"/>
        <w:bottom w:val="single" w:sz="4" w:space="0" w:color="auto"/>
        <w:right w:val="single" w:sz="4" w:space="0" w:color="auto"/>
      </w:pBdr>
      <w:shd w:val="clear" w:color="000000" w:fill="ACB9CA"/>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7">
    <w:name w:val="xl117"/>
    <w:basedOn w:val="Normal"/>
    <w:rsid w:val="00CB65F4"/>
    <w:pPr>
      <w:pBdr>
        <w:top w:val="single" w:sz="4" w:space="0" w:color="auto"/>
        <w:left w:val="single" w:sz="4" w:space="0" w:color="auto"/>
        <w:bottom w:val="single" w:sz="4" w:space="0" w:color="auto"/>
        <w:right w:val="single" w:sz="8" w:space="0" w:color="auto"/>
      </w:pBdr>
      <w:shd w:val="clear" w:color="000000" w:fill="ACB9CA"/>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8">
    <w:name w:val="xl118"/>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19">
    <w:name w:val="xl119"/>
    <w:basedOn w:val="Normal"/>
    <w:rsid w:val="00CB65F4"/>
    <w:pPr>
      <w:pBdr>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0">
    <w:name w:val="xl120"/>
    <w:basedOn w:val="Normal"/>
    <w:rsid w:val="00CB65F4"/>
    <w:pPr>
      <w:pBdr>
        <w:lef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1">
    <w:name w:val="xl121"/>
    <w:basedOn w:val="Normal"/>
    <w:rsid w:val="00CB65F4"/>
    <w:pPr>
      <w:pBdr>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2">
    <w:name w:val="xl122"/>
    <w:basedOn w:val="Normal"/>
    <w:rsid w:val="00CB65F4"/>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3">
    <w:name w:val="xl123"/>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4">
    <w:name w:val="xl124"/>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5">
    <w:name w:val="xl125"/>
    <w:basedOn w:val="Normal"/>
    <w:rsid w:val="00CB65F4"/>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6">
    <w:name w:val="xl126"/>
    <w:basedOn w:val="Normal"/>
    <w:rsid w:val="00CB65F4"/>
    <w:pPr>
      <w:pBdr>
        <w:left w:val="single" w:sz="8" w:space="0" w:color="auto"/>
        <w:right w:val="single" w:sz="8"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7">
    <w:name w:val="xl127"/>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28">
    <w:name w:val="xl128"/>
    <w:basedOn w:val="Normal"/>
    <w:rsid w:val="00CB65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29">
    <w:name w:val="xl129"/>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0">
    <w:name w:val="xl130"/>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1">
    <w:name w:val="xl131"/>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2">
    <w:name w:val="xl132"/>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3">
    <w:name w:val="xl133"/>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34">
    <w:name w:val="xl134"/>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5">
    <w:name w:val="xl135"/>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6">
    <w:name w:val="xl136"/>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sz w:val="20"/>
      <w:szCs w:val="20"/>
    </w:rPr>
  </w:style>
  <w:style w:type="paragraph" w:customStyle="1" w:styleId="xl137">
    <w:name w:val="xl137"/>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38">
    <w:name w:val="xl138"/>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39">
    <w:name w:val="xl139"/>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0">
    <w:name w:val="xl140"/>
    <w:basedOn w:val="Normal"/>
    <w:rsid w:val="00CB65F4"/>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1">
    <w:name w:val="xl141"/>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sz w:val="20"/>
      <w:szCs w:val="20"/>
    </w:rPr>
  </w:style>
  <w:style w:type="paragraph" w:customStyle="1" w:styleId="xl142">
    <w:name w:val="xl142"/>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Calibri Light" w:eastAsia="Times New Roman" w:hAnsi="Calibri Light" w:cs="Calibri Light"/>
      <w:sz w:val="20"/>
      <w:szCs w:val="20"/>
    </w:rPr>
  </w:style>
  <w:style w:type="paragraph" w:customStyle="1" w:styleId="xl143">
    <w:name w:val="xl143"/>
    <w:basedOn w:val="Normal"/>
    <w:rsid w:val="00CB65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44">
    <w:name w:val="xl144"/>
    <w:basedOn w:val="Normal"/>
    <w:rsid w:val="00CB65F4"/>
    <w:pP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45">
    <w:name w:val="xl145"/>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46">
    <w:name w:val="xl146"/>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7">
    <w:name w:val="xl147"/>
    <w:basedOn w:val="Normal"/>
    <w:rsid w:val="00CB65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8">
    <w:name w:val="xl148"/>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49">
    <w:name w:val="xl149"/>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0">
    <w:name w:val="xl150"/>
    <w:basedOn w:val="Normal"/>
    <w:rsid w:val="00CB65F4"/>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1">
    <w:name w:val="xl151"/>
    <w:basedOn w:val="Normal"/>
    <w:rsid w:val="00CB65F4"/>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2">
    <w:name w:val="xl152"/>
    <w:basedOn w:val="Normal"/>
    <w:rsid w:val="00CB65F4"/>
    <w:pPr>
      <w:spacing w:before="100" w:beforeAutospacing="1" w:after="100" w:afterAutospacing="1"/>
      <w:textAlignment w:val="center"/>
    </w:pPr>
    <w:rPr>
      <w:rFonts w:ascii="Calibri Light" w:eastAsia="Times New Roman" w:hAnsi="Calibri Light" w:cs="Calibri Light"/>
    </w:rPr>
  </w:style>
  <w:style w:type="paragraph" w:customStyle="1" w:styleId="xl153">
    <w:name w:val="xl153"/>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54">
    <w:name w:val="xl154"/>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5">
    <w:name w:val="xl155"/>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56">
    <w:name w:val="xl156"/>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7">
    <w:name w:val="xl157"/>
    <w:basedOn w:val="Normal"/>
    <w:rsid w:val="00CB65F4"/>
    <w:pPr>
      <w:pBdr>
        <w:top w:val="single" w:sz="4" w:space="0" w:color="auto"/>
        <w:left w:val="single" w:sz="8" w:space="0" w:color="auto"/>
        <w:bottom w:val="single" w:sz="4" w:space="0" w:color="auto"/>
      </w:pBdr>
      <w:shd w:val="clear" w:color="000000" w:fill="C0C0C0"/>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58">
    <w:name w:val="xl158"/>
    <w:basedOn w:val="Normal"/>
    <w:rsid w:val="00CB65F4"/>
    <w:pPr>
      <w:pBdr>
        <w:top w:val="single" w:sz="4"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sz w:val="20"/>
      <w:szCs w:val="20"/>
    </w:rPr>
  </w:style>
  <w:style w:type="paragraph" w:customStyle="1" w:styleId="xl159">
    <w:name w:val="xl159"/>
    <w:basedOn w:val="Normal"/>
    <w:rsid w:val="00CB65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0">
    <w:name w:val="xl160"/>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1">
    <w:name w:val="xl161"/>
    <w:basedOn w:val="Normal"/>
    <w:rsid w:val="00CB65F4"/>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62">
    <w:name w:val="xl162"/>
    <w:basedOn w:val="Normal"/>
    <w:rsid w:val="00CB65F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63">
    <w:name w:val="xl163"/>
    <w:basedOn w:val="Normal"/>
    <w:rsid w:val="00CB65F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64">
    <w:name w:val="xl164"/>
    <w:basedOn w:val="Normal"/>
    <w:rsid w:val="00CB65F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i/>
      <w:iCs/>
      <w:sz w:val="20"/>
      <w:szCs w:val="20"/>
    </w:rPr>
  </w:style>
  <w:style w:type="paragraph" w:customStyle="1" w:styleId="xl165">
    <w:name w:val="xl165"/>
    <w:basedOn w:val="Normal"/>
    <w:rsid w:val="00CB65F4"/>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6">
    <w:name w:val="xl166"/>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Calibri Light" w:eastAsia="Times New Roman" w:hAnsi="Calibri Light" w:cs="Calibri Light"/>
      <w:b/>
      <w:bCs/>
      <w:i/>
      <w:iCs/>
      <w:sz w:val="20"/>
      <w:szCs w:val="20"/>
    </w:rPr>
  </w:style>
  <w:style w:type="paragraph" w:customStyle="1" w:styleId="xl167">
    <w:name w:val="xl167"/>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i/>
      <w:iCs/>
      <w:sz w:val="20"/>
      <w:szCs w:val="20"/>
    </w:rPr>
  </w:style>
  <w:style w:type="paragraph" w:customStyle="1" w:styleId="xl168">
    <w:name w:val="xl168"/>
    <w:basedOn w:val="Normal"/>
    <w:rsid w:val="00CB65F4"/>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69">
    <w:name w:val="xl169"/>
    <w:basedOn w:val="Normal"/>
    <w:rsid w:val="00CB65F4"/>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0">
    <w:name w:val="xl170"/>
    <w:basedOn w:val="Normal"/>
    <w:rsid w:val="00CB65F4"/>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71">
    <w:name w:val="xl171"/>
    <w:basedOn w:val="Normal"/>
    <w:rsid w:val="00CB65F4"/>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2">
    <w:name w:val="xl172"/>
    <w:basedOn w:val="Normal"/>
    <w:rsid w:val="00CB65F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3">
    <w:name w:val="xl173"/>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i/>
      <w:iCs/>
      <w:sz w:val="20"/>
      <w:szCs w:val="20"/>
    </w:rPr>
  </w:style>
  <w:style w:type="paragraph" w:customStyle="1" w:styleId="xl174">
    <w:name w:val="xl174"/>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5">
    <w:name w:val="xl175"/>
    <w:basedOn w:val="Normal"/>
    <w:rsid w:val="00CB65F4"/>
    <w:pPr>
      <w:pBdr>
        <w:top w:val="single" w:sz="4" w:space="0" w:color="auto"/>
        <w:left w:val="single" w:sz="8" w:space="0" w:color="auto"/>
        <w:bottom w:val="single" w:sz="4" w:space="0" w:color="auto"/>
      </w:pBdr>
      <w:shd w:val="clear" w:color="000000" w:fill="A6A6A6"/>
      <w:spacing w:before="100" w:beforeAutospacing="1" w:after="100" w:afterAutospacing="1"/>
      <w:textAlignment w:val="center"/>
    </w:pPr>
    <w:rPr>
      <w:rFonts w:ascii="Calibri Light" w:eastAsia="Times New Roman" w:hAnsi="Calibri Light" w:cs="Calibri Light"/>
      <w:sz w:val="20"/>
      <w:szCs w:val="20"/>
    </w:rPr>
  </w:style>
  <w:style w:type="paragraph" w:customStyle="1" w:styleId="xl176">
    <w:name w:val="xl176"/>
    <w:basedOn w:val="Normal"/>
    <w:rsid w:val="00CB65F4"/>
    <w:pPr>
      <w:pBdr>
        <w:top w:val="single" w:sz="4" w:space="0" w:color="auto"/>
        <w:left w:val="single" w:sz="8" w:space="0" w:color="auto"/>
        <w:bottom w:val="single" w:sz="8" w:space="0" w:color="auto"/>
      </w:pBdr>
      <w:shd w:val="clear" w:color="000000" w:fill="A6A6A6"/>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77">
    <w:name w:val="xl177"/>
    <w:basedOn w:val="Normal"/>
    <w:rsid w:val="00CB65F4"/>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textAlignment w:val="center"/>
    </w:pPr>
    <w:rPr>
      <w:rFonts w:ascii="Calibri Light" w:eastAsia="Times New Roman" w:hAnsi="Calibri Light" w:cs="Calibri Light"/>
      <w:sz w:val="36"/>
      <w:szCs w:val="36"/>
    </w:rPr>
  </w:style>
  <w:style w:type="paragraph" w:customStyle="1" w:styleId="xl178">
    <w:name w:val="xl178"/>
    <w:basedOn w:val="Normal"/>
    <w:rsid w:val="00CB65F4"/>
    <w:pPr>
      <w:pBdr>
        <w:top w:val="single" w:sz="4" w:space="0" w:color="auto"/>
        <w:left w:val="single" w:sz="8" w:space="0" w:color="auto"/>
        <w:bottom w:val="single" w:sz="8" w:space="0" w:color="auto"/>
        <w:right w:val="single" w:sz="8" w:space="0" w:color="auto"/>
      </w:pBdr>
      <w:shd w:val="clear" w:color="000000" w:fill="C00000"/>
      <w:spacing w:before="100" w:beforeAutospacing="1" w:after="100" w:afterAutospacing="1"/>
      <w:textAlignment w:val="center"/>
    </w:pPr>
    <w:rPr>
      <w:rFonts w:ascii="Calibri Light" w:eastAsia="Times New Roman" w:hAnsi="Calibri Light" w:cs="Calibri Light"/>
      <w:sz w:val="40"/>
      <w:szCs w:val="40"/>
    </w:rPr>
  </w:style>
  <w:style w:type="paragraph" w:customStyle="1" w:styleId="xl179">
    <w:name w:val="xl179"/>
    <w:basedOn w:val="Normal"/>
    <w:rsid w:val="00CB65F4"/>
    <w:pPr>
      <w:pBdr>
        <w:top w:val="single" w:sz="8" w:space="0" w:color="auto"/>
        <w:left w:val="single" w:sz="8" w:space="0" w:color="auto"/>
        <w:bottom w:val="single" w:sz="4" w:space="0" w:color="auto"/>
      </w:pBdr>
      <w:spacing w:before="100" w:beforeAutospacing="1" w:after="100" w:afterAutospacing="1"/>
      <w:textAlignment w:val="center"/>
    </w:pPr>
    <w:rPr>
      <w:rFonts w:ascii="Calibri Light" w:eastAsia="Times New Roman" w:hAnsi="Calibri Light" w:cs="Calibri Light"/>
      <w:b/>
      <w:bCs/>
    </w:rPr>
  </w:style>
  <w:style w:type="paragraph" w:customStyle="1" w:styleId="xl180">
    <w:name w:val="xl180"/>
    <w:basedOn w:val="Normal"/>
    <w:rsid w:val="00CB65F4"/>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textAlignment w:val="center"/>
    </w:pPr>
    <w:rPr>
      <w:rFonts w:ascii="Calibri Light" w:eastAsia="Times New Roman" w:hAnsi="Calibri Light" w:cs="Calibri Light"/>
      <w:sz w:val="20"/>
      <w:szCs w:val="20"/>
    </w:rPr>
  </w:style>
  <w:style w:type="paragraph" w:customStyle="1" w:styleId="xl181">
    <w:name w:val="xl181"/>
    <w:basedOn w:val="Normal"/>
    <w:rsid w:val="00CB65F4"/>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jc w:val="right"/>
      <w:textAlignment w:val="center"/>
    </w:pPr>
    <w:rPr>
      <w:rFonts w:ascii="Calibri Light" w:eastAsia="Times New Roman" w:hAnsi="Calibri Light" w:cs="Calibri Light"/>
      <w:sz w:val="20"/>
      <w:szCs w:val="20"/>
    </w:rPr>
  </w:style>
  <w:style w:type="paragraph" w:customStyle="1" w:styleId="xl182">
    <w:name w:val="xl182"/>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Calibri Light" w:eastAsia="Times New Roman" w:hAnsi="Calibri Light" w:cs="Calibri Light"/>
      <w:b/>
      <w:bCs/>
      <w:sz w:val="20"/>
      <w:szCs w:val="20"/>
    </w:rPr>
  </w:style>
  <w:style w:type="paragraph" w:customStyle="1" w:styleId="xl183">
    <w:name w:val="xl183"/>
    <w:basedOn w:val="Normal"/>
    <w:rsid w:val="00CB65F4"/>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4">
    <w:name w:val="xl184"/>
    <w:basedOn w:val="Normal"/>
    <w:rsid w:val="00CB65F4"/>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5">
    <w:name w:val="xl185"/>
    <w:basedOn w:val="Normal"/>
    <w:rsid w:val="00CB65F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86">
    <w:name w:val="xl186"/>
    <w:basedOn w:val="Normal"/>
    <w:rsid w:val="00CB65F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sz w:val="20"/>
      <w:szCs w:val="20"/>
    </w:rPr>
  </w:style>
  <w:style w:type="paragraph" w:customStyle="1" w:styleId="xl187">
    <w:name w:val="xl187"/>
    <w:basedOn w:val="Normal"/>
    <w:rsid w:val="00CB65F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8">
    <w:name w:val="xl188"/>
    <w:basedOn w:val="Normal"/>
    <w:rsid w:val="00CB65F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89">
    <w:name w:val="xl189"/>
    <w:basedOn w:val="Normal"/>
    <w:rsid w:val="00CB65F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0">
    <w:name w:val="xl190"/>
    <w:basedOn w:val="Normal"/>
    <w:rsid w:val="00CB65F4"/>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1">
    <w:name w:val="xl191"/>
    <w:basedOn w:val="Normal"/>
    <w:rsid w:val="00CB65F4"/>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Light" w:eastAsia="Times New Roman" w:hAnsi="Calibri Light" w:cs="Calibri Light"/>
      <w:b/>
      <w:bCs/>
    </w:rPr>
  </w:style>
  <w:style w:type="paragraph" w:customStyle="1" w:styleId="xl192">
    <w:name w:val="xl192"/>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3">
    <w:name w:val="xl193"/>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4">
    <w:name w:val="xl194"/>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95">
    <w:name w:val="xl195"/>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sz w:val="20"/>
      <w:szCs w:val="20"/>
    </w:rPr>
  </w:style>
  <w:style w:type="paragraph" w:customStyle="1" w:styleId="xl196">
    <w:name w:val="xl196"/>
    <w:basedOn w:val="Normal"/>
    <w:rsid w:val="00C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7">
    <w:name w:val="xl197"/>
    <w:basedOn w:val="Normal"/>
    <w:rsid w:val="00CB65F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8">
    <w:name w:val="xl198"/>
    <w:basedOn w:val="Normal"/>
    <w:rsid w:val="00CB65F4"/>
    <w:pPr>
      <w:pBdr>
        <w:top w:val="single" w:sz="4" w:space="0" w:color="auto"/>
        <w:left w:val="single" w:sz="8" w:space="0" w:color="auto"/>
        <w:bottom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199">
    <w:name w:val="xl199"/>
    <w:basedOn w:val="Normal"/>
    <w:rsid w:val="00CB65F4"/>
    <w:pPr>
      <w:pBdr>
        <w:top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200">
    <w:name w:val="xl200"/>
    <w:basedOn w:val="Normal"/>
    <w:rsid w:val="00CB65F4"/>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paragraph" w:customStyle="1" w:styleId="xl201">
    <w:name w:val="xl201"/>
    <w:basedOn w:val="Normal"/>
    <w:rsid w:val="00CB65F4"/>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Calibri Light" w:eastAsia="Times New Roman" w:hAnsi="Calibri Light" w:cs="Calibri Light"/>
      <w:b/>
      <w:bCs/>
      <w:sz w:val="20"/>
      <w:szCs w:val="20"/>
    </w:rPr>
  </w:style>
  <w:style w:type="table" w:styleId="TableauGrille4-Accentuation1">
    <w:name w:val="Grid Table 4 Accent 1"/>
    <w:basedOn w:val="TableauNormal"/>
    <w:uiPriority w:val="49"/>
    <w:rsid w:val="00720B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A94F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232">
      <w:bodyDiv w:val="1"/>
      <w:marLeft w:val="0"/>
      <w:marRight w:val="0"/>
      <w:marTop w:val="0"/>
      <w:marBottom w:val="0"/>
      <w:divBdr>
        <w:top w:val="none" w:sz="0" w:space="0" w:color="auto"/>
        <w:left w:val="none" w:sz="0" w:space="0" w:color="auto"/>
        <w:bottom w:val="none" w:sz="0" w:space="0" w:color="auto"/>
        <w:right w:val="none" w:sz="0" w:space="0" w:color="auto"/>
      </w:divBdr>
    </w:div>
    <w:div w:id="36046822">
      <w:bodyDiv w:val="1"/>
      <w:marLeft w:val="0"/>
      <w:marRight w:val="0"/>
      <w:marTop w:val="0"/>
      <w:marBottom w:val="0"/>
      <w:divBdr>
        <w:top w:val="none" w:sz="0" w:space="0" w:color="auto"/>
        <w:left w:val="none" w:sz="0" w:space="0" w:color="auto"/>
        <w:bottom w:val="none" w:sz="0" w:space="0" w:color="auto"/>
        <w:right w:val="none" w:sz="0" w:space="0" w:color="auto"/>
      </w:divBdr>
    </w:div>
    <w:div w:id="54090631">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274792580">
      <w:bodyDiv w:val="1"/>
      <w:marLeft w:val="0"/>
      <w:marRight w:val="0"/>
      <w:marTop w:val="0"/>
      <w:marBottom w:val="0"/>
      <w:divBdr>
        <w:top w:val="none" w:sz="0" w:space="0" w:color="auto"/>
        <w:left w:val="none" w:sz="0" w:space="0" w:color="auto"/>
        <w:bottom w:val="none" w:sz="0" w:space="0" w:color="auto"/>
        <w:right w:val="none" w:sz="0" w:space="0" w:color="auto"/>
      </w:divBdr>
    </w:div>
    <w:div w:id="322397303">
      <w:bodyDiv w:val="1"/>
      <w:marLeft w:val="0"/>
      <w:marRight w:val="0"/>
      <w:marTop w:val="0"/>
      <w:marBottom w:val="0"/>
      <w:divBdr>
        <w:top w:val="none" w:sz="0" w:space="0" w:color="auto"/>
        <w:left w:val="none" w:sz="0" w:space="0" w:color="auto"/>
        <w:bottom w:val="none" w:sz="0" w:space="0" w:color="auto"/>
        <w:right w:val="none" w:sz="0" w:space="0" w:color="auto"/>
      </w:divBdr>
    </w:div>
    <w:div w:id="337776500">
      <w:bodyDiv w:val="1"/>
      <w:marLeft w:val="0"/>
      <w:marRight w:val="0"/>
      <w:marTop w:val="0"/>
      <w:marBottom w:val="0"/>
      <w:divBdr>
        <w:top w:val="none" w:sz="0" w:space="0" w:color="auto"/>
        <w:left w:val="none" w:sz="0" w:space="0" w:color="auto"/>
        <w:bottom w:val="none" w:sz="0" w:space="0" w:color="auto"/>
        <w:right w:val="none" w:sz="0" w:space="0" w:color="auto"/>
      </w:divBdr>
    </w:div>
    <w:div w:id="435371086">
      <w:bodyDiv w:val="1"/>
      <w:marLeft w:val="0"/>
      <w:marRight w:val="0"/>
      <w:marTop w:val="0"/>
      <w:marBottom w:val="0"/>
      <w:divBdr>
        <w:top w:val="none" w:sz="0" w:space="0" w:color="auto"/>
        <w:left w:val="none" w:sz="0" w:space="0" w:color="auto"/>
        <w:bottom w:val="none" w:sz="0" w:space="0" w:color="auto"/>
        <w:right w:val="none" w:sz="0" w:space="0" w:color="auto"/>
      </w:divBdr>
    </w:div>
    <w:div w:id="477696318">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611011056">
      <w:bodyDiv w:val="1"/>
      <w:marLeft w:val="0"/>
      <w:marRight w:val="0"/>
      <w:marTop w:val="0"/>
      <w:marBottom w:val="0"/>
      <w:divBdr>
        <w:top w:val="none" w:sz="0" w:space="0" w:color="auto"/>
        <w:left w:val="none" w:sz="0" w:space="0" w:color="auto"/>
        <w:bottom w:val="none" w:sz="0" w:space="0" w:color="auto"/>
        <w:right w:val="none" w:sz="0" w:space="0" w:color="auto"/>
      </w:divBdr>
    </w:div>
    <w:div w:id="624852658">
      <w:bodyDiv w:val="1"/>
      <w:marLeft w:val="0"/>
      <w:marRight w:val="0"/>
      <w:marTop w:val="0"/>
      <w:marBottom w:val="0"/>
      <w:divBdr>
        <w:top w:val="none" w:sz="0" w:space="0" w:color="auto"/>
        <w:left w:val="none" w:sz="0" w:space="0" w:color="auto"/>
        <w:bottom w:val="none" w:sz="0" w:space="0" w:color="auto"/>
        <w:right w:val="none" w:sz="0" w:space="0" w:color="auto"/>
      </w:divBdr>
    </w:div>
    <w:div w:id="642933822">
      <w:bodyDiv w:val="1"/>
      <w:marLeft w:val="0"/>
      <w:marRight w:val="0"/>
      <w:marTop w:val="0"/>
      <w:marBottom w:val="0"/>
      <w:divBdr>
        <w:top w:val="none" w:sz="0" w:space="0" w:color="auto"/>
        <w:left w:val="none" w:sz="0" w:space="0" w:color="auto"/>
        <w:bottom w:val="none" w:sz="0" w:space="0" w:color="auto"/>
        <w:right w:val="none" w:sz="0" w:space="0" w:color="auto"/>
      </w:divBdr>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745952170">
      <w:bodyDiv w:val="1"/>
      <w:marLeft w:val="0"/>
      <w:marRight w:val="0"/>
      <w:marTop w:val="0"/>
      <w:marBottom w:val="0"/>
      <w:divBdr>
        <w:top w:val="none" w:sz="0" w:space="0" w:color="auto"/>
        <w:left w:val="none" w:sz="0" w:space="0" w:color="auto"/>
        <w:bottom w:val="none" w:sz="0" w:space="0" w:color="auto"/>
        <w:right w:val="none" w:sz="0" w:space="0" w:color="auto"/>
      </w:divBdr>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878007215">
      <w:bodyDiv w:val="1"/>
      <w:marLeft w:val="0"/>
      <w:marRight w:val="0"/>
      <w:marTop w:val="0"/>
      <w:marBottom w:val="0"/>
      <w:divBdr>
        <w:top w:val="none" w:sz="0" w:space="0" w:color="auto"/>
        <w:left w:val="none" w:sz="0" w:space="0" w:color="auto"/>
        <w:bottom w:val="none" w:sz="0" w:space="0" w:color="auto"/>
        <w:right w:val="none" w:sz="0" w:space="0" w:color="auto"/>
      </w:divBdr>
    </w:div>
    <w:div w:id="887228039">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326199430">
      <w:bodyDiv w:val="1"/>
      <w:marLeft w:val="0"/>
      <w:marRight w:val="0"/>
      <w:marTop w:val="0"/>
      <w:marBottom w:val="0"/>
      <w:divBdr>
        <w:top w:val="none" w:sz="0" w:space="0" w:color="auto"/>
        <w:left w:val="none" w:sz="0" w:space="0" w:color="auto"/>
        <w:bottom w:val="none" w:sz="0" w:space="0" w:color="auto"/>
        <w:right w:val="none" w:sz="0" w:space="0" w:color="auto"/>
      </w:divBdr>
    </w:div>
    <w:div w:id="1364093030">
      <w:bodyDiv w:val="1"/>
      <w:marLeft w:val="0"/>
      <w:marRight w:val="0"/>
      <w:marTop w:val="0"/>
      <w:marBottom w:val="0"/>
      <w:divBdr>
        <w:top w:val="none" w:sz="0" w:space="0" w:color="auto"/>
        <w:left w:val="none" w:sz="0" w:space="0" w:color="auto"/>
        <w:bottom w:val="none" w:sz="0" w:space="0" w:color="auto"/>
        <w:right w:val="none" w:sz="0" w:space="0" w:color="auto"/>
      </w:divBdr>
    </w:div>
    <w:div w:id="1414160395">
      <w:bodyDiv w:val="1"/>
      <w:marLeft w:val="0"/>
      <w:marRight w:val="0"/>
      <w:marTop w:val="0"/>
      <w:marBottom w:val="0"/>
      <w:divBdr>
        <w:top w:val="none" w:sz="0" w:space="0" w:color="auto"/>
        <w:left w:val="none" w:sz="0" w:space="0" w:color="auto"/>
        <w:bottom w:val="none" w:sz="0" w:space="0" w:color="auto"/>
        <w:right w:val="none" w:sz="0" w:space="0" w:color="auto"/>
      </w:divBdr>
    </w:div>
    <w:div w:id="1445072284">
      <w:bodyDiv w:val="1"/>
      <w:marLeft w:val="0"/>
      <w:marRight w:val="0"/>
      <w:marTop w:val="0"/>
      <w:marBottom w:val="0"/>
      <w:divBdr>
        <w:top w:val="none" w:sz="0" w:space="0" w:color="auto"/>
        <w:left w:val="none" w:sz="0" w:space="0" w:color="auto"/>
        <w:bottom w:val="none" w:sz="0" w:space="0" w:color="auto"/>
        <w:right w:val="none" w:sz="0" w:space="0" w:color="auto"/>
      </w:divBdr>
    </w:div>
    <w:div w:id="1461072280">
      <w:bodyDiv w:val="1"/>
      <w:marLeft w:val="0"/>
      <w:marRight w:val="0"/>
      <w:marTop w:val="0"/>
      <w:marBottom w:val="0"/>
      <w:divBdr>
        <w:top w:val="none" w:sz="0" w:space="0" w:color="auto"/>
        <w:left w:val="none" w:sz="0" w:space="0" w:color="auto"/>
        <w:bottom w:val="none" w:sz="0" w:space="0" w:color="auto"/>
        <w:right w:val="none" w:sz="0" w:space="0" w:color="auto"/>
      </w:divBdr>
    </w:div>
    <w:div w:id="1484926109">
      <w:bodyDiv w:val="1"/>
      <w:marLeft w:val="0"/>
      <w:marRight w:val="0"/>
      <w:marTop w:val="0"/>
      <w:marBottom w:val="0"/>
      <w:divBdr>
        <w:top w:val="none" w:sz="0" w:space="0" w:color="auto"/>
        <w:left w:val="none" w:sz="0" w:space="0" w:color="auto"/>
        <w:bottom w:val="none" w:sz="0" w:space="0" w:color="auto"/>
        <w:right w:val="none" w:sz="0" w:space="0" w:color="auto"/>
      </w:divBdr>
    </w:div>
    <w:div w:id="1492942538">
      <w:bodyDiv w:val="1"/>
      <w:marLeft w:val="0"/>
      <w:marRight w:val="0"/>
      <w:marTop w:val="0"/>
      <w:marBottom w:val="0"/>
      <w:divBdr>
        <w:top w:val="none" w:sz="0" w:space="0" w:color="auto"/>
        <w:left w:val="none" w:sz="0" w:space="0" w:color="auto"/>
        <w:bottom w:val="none" w:sz="0" w:space="0" w:color="auto"/>
        <w:right w:val="none" w:sz="0" w:space="0" w:color="auto"/>
      </w:divBdr>
    </w:div>
    <w:div w:id="1505587016">
      <w:bodyDiv w:val="1"/>
      <w:marLeft w:val="0"/>
      <w:marRight w:val="0"/>
      <w:marTop w:val="0"/>
      <w:marBottom w:val="0"/>
      <w:divBdr>
        <w:top w:val="none" w:sz="0" w:space="0" w:color="auto"/>
        <w:left w:val="none" w:sz="0" w:space="0" w:color="auto"/>
        <w:bottom w:val="none" w:sz="0" w:space="0" w:color="auto"/>
        <w:right w:val="none" w:sz="0" w:space="0" w:color="auto"/>
      </w:divBdr>
    </w:div>
    <w:div w:id="1576159710">
      <w:bodyDiv w:val="1"/>
      <w:marLeft w:val="0"/>
      <w:marRight w:val="0"/>
      <w:marTop w:val="0"/>
      <w:marBottom w:val="0"/>
      <w:divBdr>
        <w:top w:val="none" w:sz="0" w:space="0" w:color="auto"/>
        <w:left w:val="none" w:sz="0" w:space="0" w:color="auto"/>
        <w:bottom w:val="none" w:sz="0" w:space="0" w:color="auto"/>
        <w:right w:val="none" w:sz="0" w:space="0" w:color="auto"/>
      </w:divBdr>
    </w:div>
    <w:div w:id="1639846539">
      <w:bodyDiv w:val="1"/>
      <w:marLeft w:val="0"/>
      <w:marRight w:val="0"/>
      <w:marTop w:val="0"/>
      <w:marBottom w:val="0"/>
      <w:divBdr>
        <w:top w:val="none" w:sz="0" w:space="0" w:color="auto"/>
        <w:left w:val="none" w:sz="0" w:space="0" w:color="auto"/>
        <w:bottom w:val="none" w:sz="0" w:space="0" w:color="auto"/>
        <w:right w:val="none" w:sz="0" w:space="0" w:color="auto"/>
      </w:divBdr>
    </w:div>
    <w:div w:id="1734161150">
      <w:bodyDiv w:val="1"/>
      <w:marLeft w:val="0"/>
      <w:marRight w:val="0"/>
      <w:marTop w:val="0"/>
      <w:marBottom w:val="0"/>
      <w:divBdr>
        <w:top w:val="none" w:sz="0" w:space="0" w:color="auto"/>
        <w:left w:val="none" w:sz="0" w:space="0" w:color="auto"/>
        <w:bottom w:val="none" w:sz="0" w:space="0" w:color="auto"/>
        <w:right w:val="none" w:sz="0" w:space="0" w:color="auto"/>
      </w:divBdr>
    </w:div>
    <w:div w:id="1867207302">
      <w:bodyDiv w:val="1"/>
      <w:marLeft w:val="0"/>
      <w:marRight w:val="0"/>
      <w:marTop w:val="0"/>
      <w:marBottom w:val="0"/>
      <w:divBdr>
        <w:top w:val="none" w:sz="0" w:space="0" w:color="auto"/>
        <w:left w:val="none" w:sz="0" w:space="0" w:color="auto"/>
        <w:bottom w:val="none" w:sz="0" w:space="0" w:color="auto"/>
        <w:right w:val="none" w:sz="0" w:space="0" w:color="auto"/>
      </w:divBdr>
    </w:div>
    <w:div w:id="1944338418">
      <w:bodyDiv w:val="1"/>
      <w:marLeft w:val="0"/>
      <w:marRight w:val="0"/>
      <w:marTop w:val="0"/>
      <w:marBottom w:val="0"/>
      <w:divBdr>
        <w:top w:val="none" w:sz="0" w:space="0" w:color="auto"/>
        <w:left w:val="none" w:sz="0" w:space="0" w:color="auto"/>
        <w:bottom w:val="none" w:sz="0" w:space="0" w:color="auto"/>
        <w:right w:val="none" w:sz="0" w:space="0" w:color="auto"/>
      </w:divBdr>
    </w:div>
    <w:div w:id="1966887662">
      <w:bodyDiv w:val="1"/>
      <w:marLeft w:val="0"/>
      <w:marRight w:val="0"/>
      <w:marTop w:val="0"/>
      <w:marBottom w:val="0"/>
      <w:divBdr>
        <w:top w:val="none" w:sz="0" w:space="0" w:color="auto"/>
        <w:left w:val="none" w:sz="0" w:space="0" w:color="auto"/>
        <w:bottom w:val="none" w:sz="0" w:space="0" w:color="auto"/>
        <w:right w:val="none" w:sz="0" w:space="0" w:color="auto"/>
      </w:divBdr>
    </w:div>
    <w:div w:id="1989161569">
      <w:bodyDiv w:val="1"/>
      <w:marLeft w:val="0"/>
      <w:marRight w:val="0"/>
      <w:marTop w:val="0"/>
      <w:marBottom w:val="0"/>
      <w:divBdr>
        <w:top w:val="none" w:sz="0" w:space="0" w:color="auto"/>
        <w:left w:val="none" w:sz="0" w:space="0" w:color="auto"/>
        <w:bottom w:val="none" w:sz="0" w:space="0" w:color="auto"/>
        <w:right w:val="none" w:sz="0" w:space="0" w:color="auto"/>
      </w:divBdr>
    </w:div>
    <w:div w:id="1995449866">
      <w:bodyDiv w:val="1"/>
      <w:marLeft w:val="0"/>
      <w:marRight w:val="0"/>
      <w:marTop w:val="0"/>
      <w:marBottom w:val="0"/>
      <w:divBdr>
        <w:top w:val="none" w:sz="0" w:space="0" w:color="auto"/>
        <w:left w:val="none" w:sz="0" w:space="0" w:color="auto"/>
        <w:bottom w:val="none" w:sz="0" w:space="0" w:color="auto"/>
        <w:right w:val="none" w:sz="0" w:space="0" w:color="auto"/>
      </w:divBdr>
    </w:div>
    <w:div w:id="2032678031">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097896704">
      <w:bodyDiv w:val="1"/>
      <w:marLeft w:val="0"/>
      <w:marRight w:val="0"/>
      <w:marTop w:val="0"/>
      <w:marBottom w:val="0"/>
      <w:divBdr>
        <w:top w:val="none" w:sz="0" w:space="0" w:color="auto"/>
        <w:left w:val="none" w:sz="0" w:space="0" w:color="auto"/>
        <w:bottom w:val="none" w:sz="0" w:space="0" w:color="auto"/>
        <w:right w:val="none" w:sz="0" w:space="0" w:color="auto"/>
      </w:divBdr>
    </w:div>
    <w:div w:id="2103841203">
      <w:bodyDiv w:val="1"/>
      <w:marLeft w:val="0"/>
      <w:marRight w:val="0"/>
      <w:marTop w:val="0"/>
      <w:marBottom w:val="0"/>
      <w:divBdr>
        <w:top w:val="none" w:sz="0" w:space="0" w:color="auto"/>
        <w:left w:val="none" w:sz="0" w:space="0" w:color="auto"/>
        <w:bottom w:val="none" w:sz="0" w:space="0" w:color="auto"/>
        <w:right w:val="none" w:sz="0" w:space="0" w:color="auto"/>
      </w:divBdr>
    </w:div>
    <w:div w:id="2109811444">
      <w:bodyDiv w:val="1"/>
      <w:marLeft w:val="0"/>
      <w:marRight w:val="0"/>
      <w:marTop w:val="0"/>
      <w:marBottom w:val="0"/>
      <w:divBdr>
        <w:top w:val="none" w:sz="0" w:space="0" w:color="auto"/>
        <w:left w:val="none" w:sz="0" w:space="0" w:color="auto"/>
        <w:bottom w:val="none" w:sz="0" w:space="0" w:color="auto"/>
        <w:right w:val="none" w:sz="0" w:space="0" w:color="auto"/>
      </w:divBdr>
    </w:div>
    <w:div w:id="21207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r>
              <a:rPr lang="fr-FR">
                <a:solidFill>
                  <a:schemeClr val="tx1"/>
                </a:solidFill>
              </a:rPr>
              <a:t>STRUCTURE DES RESSOURCES EN 2025 Montant (EUR)</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endParaRPr lang="en-001"/>
        </a:p>
      </c:txPr>
    </c:title>
    <c:autoTitleDeleted val="0"/>
    <c:plotArea>
      <c:layout/>
      <c:pieChart>
        <c:varyColors val="1"/>
        <c:ser>
          <c:idx val="0"/>
          <c:order val="0"/>
          <c:tx>
            <c:strRef>
              <c:f>Feuil1!$D$5</c:f>
              <c:strCache>
                <c:ptCount val="1"/>
                <c:pt idx="0">
                  <c:v>Montant (EUR)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503-4C30-9B7A-09759575068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503-4C30-9B7A-097595750686}"/>
              </c:ext>
            </c:extLst>
          </c:dPt>
          <c:dLbls>
            <c:dLbl>
              <c:idx val="0"/>
              <c:layout>
                <c:manualLayout>
                  <c:x val="-0.18083486439195109"/>
                  <c:y val="-0.110285068533100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03-4C30-9B7A-097595750686}"/>
                </c:ext>
              </c:extLst>
            </c:dLbl>
            <c:dLbl>
              <c:idx val="1"/>
              <c:layout>
                <c:manualLayout>
                  <c:x val="0.12548031496062995"/>
                  <c:y val="0.2070867964421113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6354177602799649"/>
                      <c:h val="0.16645851560221639"/>
                    </c:manualLayout>
                  </c15:layout>
                </c:ext>
                <c:ext xmlns:c16="http://schemas.microsoft.com/office/drawing/2014/chart" uri="{C3380CC4-5D6E-409C-BE32-E72D297353CC}">
                  <c16:uniqueId val="{00000003-0503-4C30-9B7A-09759575068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001"/>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Feuil1!$C$6:$C$7</c:f>
              <c:strCache>
                <c:ptCount val="2"/>
                <c:pt idx="0">
                  <c:v>Fonds reçus 2025</c:v>
                </c:pt>
                <c:pt idx="1">
                  <c:v>Solde au 1er janvier 2025</c:v>
                </c:pt>
              </c:strCache>
            </c:strRef>
          </c:cat>
          <c:val>
            <c:numRef>
              <c:f>Feuil1!$D$6:$D$7</c:f>
              <c:numCache>
                <c:formatCode>General</c:formatCode>
                <c:ptCount val="2"/>
                <c:pt idx="0">
                  <c:v>354537</c:v>
                </c:pt>
                <c:pt idx="1">
                  <c:v>74500</c:v>
                </c:pt>
              </c:numCache>
            </c:numRef>
          </c:val>
          <c:extLst>
            <c:ext xmlns:c16="http://schemas.microsoft.com/office/drawing/2014/chart" uri="{C3380CC4-5D6E-409C-BE32-E72D297353CC}">
              <c16:uniqueId val="{00000004-0503-4C30-9B7A-097595750686}"/>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solidFill>
                  <a:schemeClr val="tx1"/>
                </a:solidFill>
              </a:rPr>
              <a:t>GRAPH</a:t>
            </a:r>
            <a:r>
              <a:rPr lang="fr-FR" b="1" baseline="0">
                <a:solidFill>
                  <a:schemeClr val="tx1"/>
                </a:solidFill>
              </a:rPr>
              <a:t>E D'EXECUTION FINANCIERE 2025</a:t>
            </a:r>
            <a:endParaRPr lang="fr-FR"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Feuil3!$F$7</c:f>
              <c:strCache>
                <c:ptCount val="1"/>
                <c:pt idx="0">
                  <c:v>Dépenses 2025</c:v>
                </c:pt>
              </c:strCache>
            </c:strRef>
          </c:tx>
          <c:spPr>
            <a:solidFill>
              <a:schemeClr val="accent1"/>
            </a:solidFill>
            <a:ln>
              <a:noFill/>
            </a:ln>
            <a:effectLst/>
          </c:spPr>
          <c:invertIfNegative val="0"/>
          <c:dLbls>
            <c:dLbl>
              <c:idx val="1"/>
              <c:layout>
                <c:manualLayout>
                  <c:x val="-0.40833333333333333"/>
                  <c:y val="-0.282407407407407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sz="900"/>
                      <a:t>76,47%</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001"/>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40C-459D-BD69-8B50169FD7DD}"/>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001"/>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val>
            <c:numRef>
              <c:f>Feuil3!$G$7:$H$7</c:f>
              <c:numCache>
                <c:formatCode>0%</c:formatCode>
                <c:ptCount val="2"/>
                <c:pt idx="0" formatCode="0.00">
                  <c:v>328045</c:v>
                </c:pt>
                <c:pt idx="1">
                  <c:v>0</c:v>
                </c:pt>
              </c:numCache>
            </c:numRef>
          </c:val>
          <c:extLst>
            <c:ext xmlns:c16="http://schemas.microsoft.com/office/drawing/2014/chart" uri="{C3380CC4-5D6E-409C-BE32-E72D297353CC}">
              <c16:uniqueId val="{00000001-040C-459D-BD69-8B50169FD7DD}"/>
            </c:ext>
          </c:extLst>
        </c:ser>
        <c:ser>
          <c:idx val="1"/>
          <c:order val="1"/>
          <c:tx>
            <c:strRef>
              <c:f>Feuil3!$F$8</c:f>
              <c:strCache>
                <c:ptCount val="1"/>
                <c:pt idx="0">
                  <c:v>Solde restant</c:v>
                </c:pt>
              </c:strCache>
            </c:strRef>
          </c:tx>
          <c:spPr>
            <a:solidFill>
              <a:schemeClr val="accent2"/>
            </a:solidFill>
            <a:ln>
              <a:noFill/>
            </a:ln>
            <a:effectLst/>
          </c:spPr>
          <c:invertIfNegative val="0"/>
          <c:dLbls>
            <c:dLbl>
              <c:idx val="1"/>
              <c:layout>
                <c:manualLayout>
                  <c:x val="-0.40833333333333338"/>
                  <c:y val="-4.1666666666666755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r>
                      <a:rPr lang="en-US" sz="1050" b="1"/>
                      <a:t>23,53%</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001"/>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40C-459D-BD69-8B50169FD7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001"/>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Feuil3!$G$8:$H$8</c:f>
              <c:numCache>
                <c:formatCode>0%</c:formatCode>
                <c:ptCount val="2"/>
                <c:pt idx="0" formatCode="0.00">
                  <c:v>100991</c:v>
                </c:pt>
                <c:pt idx="1">
                  <c:v>0</c:v>
                </c:pt>
              </c:numCache>
            </c:numRef>
          </c:val>
          <c:extLst>
            <c:ext xmlns:c16="http://schemas.microsoft.com/office/drawing/2014/chart" uri="{C3380CC4-5D6E-409C-BE32-E72D297353CC}">
              <c16:uniqueId val="{00000002-040C-459D-BD69-8B50169FD7DD}"/>
            </c:ext>
          </c:extLst>
        </c:ser>
        <c:dLbls>
          <c:dLblPos val="outEnd"/>
          <c:showLegendKey val="0"/>
          <c:showVal val="1"/>
          <c:showCatName val="0"/>
          <c:showSerName val="0"/>
          <c:showPercent val="0"/>
          <c:showBubbleSize val="0"/>
        </c:dLbls>
        <c:gapWidth val="219"/>
        <c:overlap val="-27"/>
        <c:axId val="325992592"/>
        <c:axId val="325985872"/>
      </c:barChart>
      <c:catAx>
        <c:axId val="32599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325985872"/>
        <c:crosses val="autoZero"/>
        <c:auto val="1"/>
        <c:lblAlgn val="ctr"/>
        <c:lblOffset val="100"/>
        <c:noMultiLvlLbl val="0"/>
      </c:catAx>
      <c:valAx>
        <c:axId val="325985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32599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001"/>
        </a:p>
      </c:txPr>
    </c:title>
    <c:autoTitleDeleted val="0"/>
    <c:plotArea>
      <c:layout/>
      <c:barChart>
        <c:barDir val="col"/>
        <c:grouping val="clustered"/>
        <c:varyColors val="0"/>
        <c:ser>
          <c:idx val="0"/>
          <c:order val="0"/>
          <c:tx>
            <c:strRef>
              <c:f>Feuil4!$F$7</c:f>
              <c:strCache>
                <c:ptCount val="1"/>
                <c:pt idx="0">
                  <c:v>Montant (EUR)</c:v>
                </c:pt>
              </c:strCache>
            </c:strRef>
          </c:tx>
          <c:spPr>
            <a:solidFill>
              <a:srgbClr val="00B050"/>
            </a:solidFill>
            <a:ln>
              <a:noFill/>
            </a:ln>
            <a:effectLst/>
          </c:spPr>
          <c:invertIfNegative val="0"/>
          <c:dPt>
            <c:idx val="0"/>
            <c:invertIfNegative val="0"/>
            <c:bubble3D val="0"/>
            <c:spPr>
              <a:solidFill>
                <a:srgbClr val="00B050"/>
              </a:solidFill>
              <a:ln>
                <a:solidFill>
                  <a:srgbClr val="FFC000"/>
                </a:solidFill>
              </a:ln>
              <a:effectLst/>
            </c:spPr>
            <c:extLst>
              <c:ext xmlns:c16="http://schemas.microsoft.com/office/drawing/2014/chart" uri="{C3380CC4-5D6E-409C-BE32-E72D297353CC}">
                <c16:uniqueId val="{00000002-1B4B-463E-A681-4305D526968C}"/>
              </c:ext>
            </c:extLst>
          </c:dPt>
          <c:dPt>
            <c:idx val="1"/>
            <c:invertIfNegative val="0"/>
            <c:bubble3D val="0"/>
            <c:spPr>
              <a:solidFill>
                <a:srgbClr val="FFC000"/>
              </a:solidFill>
              <a:ln>
                <a:noFill/>
              </a:ln>
              <a:effectLst/>
            </c:spPr>
            <c:extLst>
              <c:ext xmlns:c16="http://schemas.microsoft.com/office/drawing/2014/chart" uri="{C3380CC4-5D6E-409C-BE32-E72D297353CC}">
                <c16:uniqueId val="{00000003-1B4B-463E-A681-4305D526968C}"/>
              </c:ext>
            </c:extLst>
          </c:dPt>
          <c:dPt>
            <c:idx val="2"/>
            <c:invertIfNegative val="0"/>
            <c:bubble3D val="0"/>
            <c:spPr>
              <a:solidFill>
                <a:srgbClr val="C00000"/>
              </a:solidFill>
              <a:ln>
                <a:noFill/>
              </a:ln>
              <a:effectLst/>
            </c:spPr>
            <c:extLst>
              <c:ext xmlns:c16="http://schemas.microsoft.com/office/drawing/2014/chart" uri="{C3380CC4-5D6E-409C-BE32-E72D297353CC}">
                <c16:uniqueId val="{00000004-1B4B-463E-A681-4305D526968C}"/>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001"/>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Feuil4!$E$8:$E$10</c:f>
              <c:strCache>
                <c:ptCount val="3"/>
                <c:pt idx="0">
                  <c:v>Total ressources</c:v>
                </c:pt>
                <c:pt idx="1">
                  <c:v>Total dépenses</c:v>
                </c:pt>
                <c:pt idx="2">
                  <c:v>Solde restant</c:v>
                </c:pt>
              </c:strCache>
            </c:strRef>
          </c:cat>
          <c:val>
            <c:numRef>
              <c:f>Feuil4!$F$8:$F$10</c:f>
              <c:numCache>
                <c:formatCode>General</c:formatCode>
                <c:ptCount val="3"/>
                <c:pt idx="0">
                  <c:v>429037</c:v>
                </c:pt>
                <c:pt idx="1">
                  <c:v>328045</c:v>
                </c:pt>
                <c:pt idx="2">
                  <c:v>100991</c:v>
                </c:pt>
              </c:numCache>
            </c:numRef>
          </c:val>
          <c:extLst>
            <c:ext xmlns:c16="http://schemas.microsoft.com/office/drawing/2014/chart" uri="{C3380CC4-5D6E-409C-BE32-E72D297353CC}">
              <c16:uniqueId val="{00000001-1B4B-463E-A681-4305D526968C}"/>
            </c:ext>
          </c:extLst>
        </c:ser>
        <c:dLbls>
          <c:dLblPos val="outEnd"/>
          <c:showLegendKey val="0"/>
          <c:showVal val="1"/>
          <c:showCatName val="0"/>
          <c:showSerName val="0"/>
          <c:showPercent val="0"/>
          <c:showBubbleSize val="0"/>
        </c:dLbls>
        <c:gapWidth val="444"/>
        <c:overlap val="-90"/>
        <c:axId val="325939312"/>
        <c:axId val="325959472"/>
      </c:barChart>
      <c:catAx>
        <c:axId val="32593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001"/>
          </a:p>
        </c:txPr>
        <c:crossAx val="325959472"/>
        <c:crosses val="autoZero"/>
        <c:auto val="1"/>
        <c:lblAlgn val="ctr"/>
        <c:lblOffset val="100"/>
        <c:noMultiLvlLbl val="0"/>
      </c:catAx>
      <c:valAx>
        <c:axId val="325959472"/>
        <c:scaling>
          <c:orientation val="minMax"/>
        </c:scaling>
        <c:delete val="1"/>
        <c:axPos val="l"/>
        <c:numFmt formatCode="General" sourceLinked="1"/>
        <c:majorTickMark val="none"/>
        <c:minorTickMark val="none"/>
        <c:tickLblPos val="nextTo"/>
        <c:crossAx val="32593931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001"/>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001"/>
        </a:p>
      </c:txPr>
    </c:title>
    <c:autoTitleDeleted val="0"/>
    <c:plotArea>
      <c:layout/>
      <c:barChart>
        <c:barDir val="bar"/>
        <c:grouping val="stacked"/>
        <c:varyColors val="0"/>
        <c:ser>
          <c:idx val="0"/>
          <c:order val="0"/>
          <c:tx>
            <c:strRef>
              <c:f>Feuil5!$G$6</c:f>
              <c:strCache>
                <c:ptCount val="1"/>
                <c:pt idx="0">
                  <c:v>Dépenses (EUR)</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5-140F-4D0C-A223-4B92EA0CAB93}"/>
              </c:ext>
            </c:extLst>
          </c:dPt>
          <c:dPt>
            <c:idx val="2"/>
            <c:invertIfNegative val="0"/>
            <c:bubble3D val="0"/>
            <c:spPr>
              <a:solidFill>
                <a:srgbClr val="FFC000"/>
              </a:solidFill>
              <a:ln>
                <a:noFill/>
              </a:ln>
              <a:effectLst/>
            </c:spPr>
            <c:extLst>
              <c:ext xmlns:c16="http://schemas.microsoft.com/office/drawing/2014/chart" uri="{C3380CC4-5D6E-409C-BE32-E72D297353CC}">
                <c16:uniqueId val="{00000003-140F-4D0C-A223-4B92EA0CAB93}"/>
              </c:ext>
            </c:extLst>
          </c:dPt>
          <c:dPt>
            <c:idx val="4"/>
            <c:invertIfNegative val="0"/>
            <c:bubble3D val="0"/>
            <c:spPr>
              <a:solidFill>
                <a:srgbClr val="00B050"/>
              </a:solidFill>
              <a:ln>
                <a:noFill/>
              </a:ln>
              <a:effectLst/>
            </c:spPr>
            <c:extLst>
              <c:ext xmlns:c16="http://schemas.microsoft.com/office/drawing/2014/chart" uri="{C3380CC4-5D6E-409C-BE32-E72D297353CC}">
                <c16:uniqueId val="{00000002-140F-4D0C-A223-4B92EA0CAB93}"/>
              </c:ext>
            </c:extLst>
          </c:dPt>
          <c:dPt>
            <c:idx val="5"/>
            <c:invertIfNegative val="0"/>
            <c:bubble3D val="0"/>
            <c:spPr>
              <a:solidFill>
                <a:srgbClr val="7030A0"/>
              </a:solidFill>
              <a:ln>
                <a:noFill/>
              </a:ln>
              <a:effectLst/>
            </c:spPr>
            <c:extLst>
              <c:ext xmlns:c16="http://schemas.microsoft.com/office/drawing/2014/chart" uri="{C3380CC4-5D6E-409C-BE32-E72D297353CC}">
                <c16:uniqueId val="{00000004-140F-4D0C-A223-4B92EA0CAB9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001"/>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Feuil5!$F$7:$F$12</c:f>
              <c:strCache>
                <c:ptCount val="6"/>
                <c:pt idx="0">
                  <c:v>Activités transversales</c:v>
                </c:pt>
                <c:pt idx="1">
                  <c:v>Résultat 1 (R1)</c:v>
                </c:pt>
                <c:pt idx="2">
                  <c:v>Résultat 2 (R2)</c:v>
                </c:pt>
                <c:pt idx="3">
                  <c:v>Résultat 3 (R3)</c:v>
                </c:pt>
                <c:pt idx="4">
                  <c:v>Fonctionnement &amp; RH</c:v>
                </c:pt>
                <c:pt idx="5">
                  <c:v>Coûts indirects</c:v>
                </c:pt>
              </c:strCache>
            </c:strRef>
          </c:cat>
          <c:val>
            <c:numRef>
              <c:f>Feuil5!$G$7:$G$12</c:f>
              <c:numCache>
                <c:formatCode>General</c:formatCode>
                <c:ptCount val="6"/>
                <c:pt idx="0">
                  <c:v>13630</c:v>
                </c:pt>
                <c:pt idx="1">
                  <c:v>72105</c:v>
                </c:pt>
                <c:pt idx="2">
                  <c:v>67051</c:v>
                </c:pt>
                <c:pt idx="3">
                  <c:v>13997</c:v>
                </c:pt>
                <c:pt idx="4">
                  <c:v>136353</c:v>
                </c:pt>
                <c:pt idx="5">
                  <c:v>24910</c:v>
                </c:pt>
              </c:numCache>
            </c:numRef>
          </c:val>
          <c:extLst>
            <c:ext xmlns:c16="http://schemas.microsoft.com/office/drawing/2014/chart" uri="{C3380CC4-5D6E-409C-BE32-E72D297353CC}">
              <c16:uniqueId val="{00000000-140F-4D0C-A223-4B92EA0CAB93}"/>
            </c:ext>
          </c:extLst>
        </c:ser>
        <c:dLbls>
          <c:dLblPos val="ctr"/>
          <c:showLegendKey val="0"/>
          <c:showVal val="1"/>
          <c:showCatName val="0"/>
          <c:showSerName val="0"/>
          <c:showPercent val="0"/>
          <c:showBubbleSize val="0"/>
        </c:dLbls>
        <c:gapWidth val="150"/>
        <c:overlap val="100"/>
        <c:axId val="330558880"/>
        <c:axId val="330579040"/>
        <c:extLst>
          <c:ext xmlns:c15="http://schemas.microsoft.com/office/drawing/2012/chart" uri="{02D57815-91ED-43cb-92C2-25804820EDAC}">
            <c15:filteredBarSeries>
              <c15:ser>
                <c:idx val="1"/>
                <c:order val="1"/>
                <c:tx>
                  <c:strRef>
                    <c:extLst>
                      <c:ext uri="{02D57815-91ED-43cb-92C2-25804820EDAC}">
                        <c15:formulaRef>
                          <c15:sqref>Feuil5!$H$6</c15:sqref>
                        </c15:formulaRef>
                      </c:ext>
                    </c:extLst>
                    <c:strCache>
                      <c:ptCount val="1"/>
                      <c:pt idx="0">
                        <c:v>% du total des dépenses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001"/>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Feuil5!$F$7:$F$12</c15:sqref>
                        </c15:formulaRef>
                      </c:ext>
                    </c:extLst>
                    <c:strCache>
                      <c:ptCount val="6"/>
                      <c:pt idx="0">
                        <c:v>Activités transversales</c:v>
                      </c:pt>
                      <c:pt idx="1">
                        <c:v>Résultat 1 (R1)</c:v>
                      </c:pt>
                      <c:pt idx="2">
                        <c:v>Résultat 2 (R2)</c:v>
                      </c:pt>
                      <c:pt idx="3">
                        <c:v>Résultat 3 (R3)</c:v>
                      </c:pt>
                      <c:pt idx="4">
                        <c:v>Fonctionnement &amp; RH</c:v>
                      </c:pt>
                      <c:pt idx="5">
                        <c:v>Coûts indirects</c:v>
                      </c:pt>
                    </c:strCache>
                  </c:strRef>
                </c:cat>
                <c:val>
                  <c:numRef>
                    <c:extLst>
                      <c:ext uri="{02D57815-91ED-43cb-92C2-25804820EDAC}">
                        <c15:formulaRef>
                          <c15:sqref>Feuil5!$H$7:$H$12</c15:sqref>
                        </c15:formulaRef>
                      </c:ext>
                    </c:extLst>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140F-4D0C-A223-4B92EA0CAB93}"/>
                  </c:ext>
                </c:extLst>
              </c15:ser>
            </c15:filteredBarSeries>
          </c:ext>
        </c:extLst>
      </c:barChart>
      <c:catAx>
        <c:axId val="330558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001"/>
          </a:p>
        </c:txPr>
        <c:crossAx val="330579040"/>
        <c:crosses val="autoZero"/>
        <c:auto val="1"/>
        <c:lblAlgn val="ctr"/>
        <c:lblOffset val="100"/>
        <c:noMultiLvlLbl val="0"/>
      </c:catAx>
      <c:valAx>
        <c:axId val="33057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3305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001"/>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26C653-75D0-48DE-AD28-0A8B5FB0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2144</Words>
  <Characters>11796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Rapport Annuel An1 2022 RAPPID _NIMD_IGD 2023</vt:lpstr>
    </vt:vector>
  </TitlesOfParts>
  <Company>Par vERONIQUE A. TONOUKOUEN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Annuel An1 2022 RAPPID _NIMD_IGD 2023</dc:title>
  <dc:subject>Rapport Annuel An1 2022 RAPPID _NIMD_IGD 2023</dc:subject>
  <dc:creator>Dr Atchouta  Roger</dc:creator>
  <cp:keywords/>
  <dc:description/>
  <cp:lastModifiedBy>Djamal FOUSSENI</cp:lastModifiedBy>
  <cp:revision>3</cp:revision>
  <cp:lastPrinted>2024-02-28T12:53:00Z</cp:lastPrinted>
  <dcterms:created xsi:type="dcterms:W3CDTF">2026-02-27T16:41:00Z</dcterms:created>
  <dcterms:modified xsi:type="dcterms:W3CDTF">2026-02-27T16:42:00Z</dcterms:modified>
</cp:coreProperties>
</file>